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ArbGG — Ehrenamtliche Richter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ehrenamtlichen Richter müssen das dreißigste Lebensjahr vollendet haben und sollen mindestens fünf Jahre ehrenamtliche Richter eines Gerichts für Arbeitssachen gewesen sein.</w:t>
      </w:r>
    </w:p>
    <w:p>
      <w:r>
        <w:t xml:space="preserve">(2) Im übrigen gelten für die Berufung und Stellung der ehrenamtlichen Richter sowie für die Amtsenthebung und die Amtsentbindung die §§ 20 bis 28 entsprechend.</w:t>
      </w:r>
    </w:p>
    <w:p>
      <w:r>
        <w:rPr>
          <w:color w:val="555555"/>
          <w:sz w:val="17"/>
        </w:rPr>
        <w:t xml:space="preserve">Zitiervorschlag: § 37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