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ArbGG — Zusammensetzung, Bildung von Kammern</w:t>
      </w:r>
    </w:p>
    <w:p>
      <w:r>
        <w:rPr>
          <w:color w:val="555555"/>
          <w:sz w:val="18"/>
        </w:rPr>
        <w:t xml:space="preserve">Arbeitsgerichtsgesetz</w:t>
      </w:r>
    </w:p>
    <w:p>
      <w:r>
        <w:rPr>
          <w:color w:val="555555"/>
          <w:sz w:val="18"/>
        </w:rPr>
        <w:t xml:space="preserve">Stand: 10.06.2019 (konsolidierte Textfassung, kein amtliches Inkrafttretensdatum)</w:t>
      </w:r>
    </w:p>
    <w:p>
      <w:r>
        <w:t xml:space="preserve">(1) Das Landesarbeitsgericht besteht aus dem Präsidenten, der erforderlichen Zahl von weiteren Vorsitzenden und von ehrenamtlichen Richtern. Die ehrenamtlichen Richter werden je zur Hälfte aus den Kreisen der Arbeitnehmer und der Arbeitgeber entnommen.</w:t>
      </w:r>
    </w:p>
    <w:p>
      <w:r>
        <w:t xml:space="preserve">(2) Jede Kammer des Landesarbeitsgerichts wird in der Besetzung mit einem Vorsitzenden und je einem ehrenamtlichen Richter aus den Kreisen der Arbeitnehmer und der Arbeitgeber tätig.</w:t>
      </w:r>
    </w:p>
    <w:p>
      <w:r>
        <w:t xml:space="preserve">(3) Die zuständige oberste Landesbehörde bestimmt die Zahl der Kammern. § 17 gilt entsprechend.</w:t>
      </w:r>
    </w:p>
    <w:p>
      <w:r>
        <w:rPr>
          <w:color w:val="555555"/>
          <w:sz w:val="17"/>
        </w:rPr>
        <w:t xml:space="preserve">Zitiervorschlag: § 35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