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ArbGG — Verwaltung und Dienstaufsicht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Geschäfte der Verwaltung und Dienstaufsicht führt die zuständige oberste Landesbehörde. § 15 Abs. 1 Satz 2 gilt entsprechend.</w:t>
      </w:r>
    </w:p>
    <w:p>
      <w:r>
        <w:t xml:space="preserve">(2) Die Landesregierung kann durch Rechtsverordnung Geschäfte der Verwaltung und Dienstaufsicht dem Präsidenten des Landesarbeitsgerichts übertragen. Die Landesregierung kann die Ermächtigung nach Satz 1 durch Rechtsverordnung auf die zuständige oberste Landesbehörde übertragen.</w:t>
      </w:r>
    </w:p>
    <w:p>
      <w:r>
        <w:rPr>
          <w:color w:val="555555"/>
          <w:sz w:val="17"/>
        </w:rPr>
        <w:t xml:space="preserve">Zitiervorschlag: § 34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