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ArbGG — Errichtung und Organisation</w:t>
      </w:r>
    </w:p>
    <w:p>
      <w:r>
        <w:rPr>
          <w:color w:val="555555"/>
          <w:sz w:val="18"/>
        </w:rPr>
        <w:t xml:space="preserve">Arbeitsgerichtsgesetz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Ländern werden Landesarbeitsgerichte errichtet. § 14 Abs. 2 bis 5 ist entsprechend anzuwenden.</w:t>
      </w:r>
    </w:p>
    <w:p>
      <w:r>
        <w:rPr>
          <w:color w:val="555555"/>
          <w:sz w:val="17"/>
        </w:rPr>
        <w:t xml:space="preserve">Zitiervorschlag: § 33 ArbGG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https://recht.nulegal.eu/gesetze/ArbGG/33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