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ArbGG — Ablehnung und Niederlegung des ehrenamtlichen Richteramts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Amt des ehrenamtlichen Richters kann ablehnen oder niederlegen,</w:t>
      </w:r>
    </w:p>
    <w:p>
      <w:pPr>
        <w:ind w:left="420"/>
      </w:pPr>
      <w:r>
        <w:t xml:space="preserve">1. wer die Regelaltersgrenze nach dem Sechsten Buch Sozialgesetzbuch erreicht hat;</w:t>
      </w:r>
    </w:p>
    <w:p>
      <w:pPr>
        <w:ind w:left="420"/>
      </w:pPr>
      <w:r>
        <w:t xml:space="preserve">2. wer aus gesundheitlichen Gründen daran gehindert ist, das Amt ordnungsgemäß auszuüben;</w:t>
      </w:r>
    </w:p>
    <w:p>
      <w:pPr>
        <w:ind w:left="420"/>
      </w:pPr>
      <w:r>
        <w:t xml:space="preserve">3. wer durch ehrenamtliche Tätigkeit für die Allgemeinheit so in Anspruch genommen ist, daß ihm die Übernahme des Amtes nicht zugemutet werden kann;</w:t>
      </w:r>
    </w:p>
    <w:p>
      <w:pPr>
        <w:ind w:left="420"/>
      </w:pPr>
      <w:r>
        <w:t xml:space="preserve">4. wer in den zehn der Berufung vorhergehenden Jahren als ehrenamtlicher Richter bei einem Gericht für Arbeitssachen tätig gewesen ist;</w:t>
      </w:r>
    </w:p>
    <w:p>
      <w:pPr>
        <w:ind w:left="420"/>
      </w:pPr>
      <w:r>
        <w:t xml:space="preserve">5. wer glaubhaft macht, daß ihm wichtige Gründe, insbesondere die Fürsorge für seine Familie, die Ausübung des Amtes in besonderem Maß erschweren.</w:t>
      </w:r>
    </w:p>
    <w:p>
      <w:r>
        <w:t xml:space="preserve">(2) Über die Berechtigung zur Ablehnung oder Niederlegung entscheidet die zuständige Stelle (§ 20). Die Entscheidung ist endgültig.</w:t>
      </w:r>
    </w:p>
    <w:p>
      <w:r>
        <w:rPr>
          <w:color w:val="555555"/>
          <w:sz w:val="17"/>
        </w:rPr>
        <w:t xml:space="preserve">Zitiervorschlag: § 24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