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ArbGG — Ernennung der Vorsitzenden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Vorsitzenden werden auf Vorschlag der zuständigen obersten Landesbehörde nach Beratung mit einem Ausschuß entsprechend den landesrechtlichen Vorschriften bestellt.</w:t>
      </w:r>
    </w:p>
    <w:p>
      <w:r>
        <w:t xml:space="preserve">(2) Der Ausschuß ist von der zuständigen obersten Landesbehörde zu errichten. Ihm müssen in gleichem Verhältnis Vertreter der in § 14 Abs. 5 genannten Gewerkschaften und Vereinigungen von Arbeitgebern sowie der Arbeitsgerichtsbarkeit angehören.</w:t>
      </w:r>
    </w:p>
    <w:p>
      <w:r>
        <w:t xml:space="preserve">(3) Einem Vorsitzenden kann zugleich ein weiteres Richteramt bei einem anderen Arbeitsgericht übertragen werden.</w:t>
      </w:r>
    </w:p>
    <w:p>
      <w:r>
        <w:t xml:space="preserve">(4) - (6) (weggefallen)</w:t>
      </w:r>
    </w:p>
    <w:p>
      <w:r>
        <w:t xml:space="preserve">(7) Bei den Arbeitsgerichten können Richter auf Probe und Richter kraft Auftrags verwendet werden.</w:t>
      </w:r>
    </w:p>
    <w:p>
      <w:r>
        <w:rPr>
          <w:color w:val="555555"/>
          <w:sz w:val="17"/>
        </w:rPr>
        <w:t xml:space="preserve">Zitiervorschlag: § 18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