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ArbGG — Bildung von Kammern</w:t>
      </w:r>
    </w:p>
    <w:p>
      <w:r>
        <w:rPr>
          <w:color w:val="555555"/>
          <w:sz w:val="18"/>
        </w:rPr>
        <w:t xml:space="preserve">Arbeitsgerichtsgesetz</w:t>
      </w:r>
    </w:p>
    <w:p>
      <w:r>
        <w:rPr>
          <w:color w:val="555555"/>
          <w:sz w:val="18"/>
        </w:rPr>
        <w:t xml:space="preserve">Stand: 10.12.2019 (konsolidierte Textfassung, kein amtliches Inkrafttretensdatum)</w:t>
      </w:r>
    </w:p>
    <w:p>
      <w:r>
        <w:t xml:space="preserve">(1) Die zuständige oberste Landesbehörde bestimmt die Zahl der Kammern. Die Landesregierung kann diese Befugnis durch Rechtsverordnung auf die Präsidentin oder den Präsidenten des Landesarbeitsgerichts übertragen. Vor Bestimmung der Zahl der Kammern sind die in § 14 Absatz 5 genannten Verbände zu hören.</w:t>
      </w:r>
    </w:p>
    <w:p>
      <w:r>
        <w:t xml:space="preserve">(2) Soweit ein Bedürfnis besteht, kann die Landesregierung durch Rechtsverordnung für die Streitigkeiten bestimmter Berufe und Gewerbe und bestimmter Gruppen von Arbeitnehmern Fachkammern bilden. Die Zuständigkeit einer Fachkammer kann durch Rechtsverordnung auf die Bezirke anderer Arbeitsgerichte oder Teile von ihnen erstreckt werden, sofern die Erstreckung für eine sachdienliche Förderung oder schnellere Erledigung der Verfahren zweckmäßig ist. Die Rechtsverordnungen auf Grund der Sätze 1 und 2 treffen Regelungen zum Übergang anhängiger Verfahren auf ein anderes Gericht, sofern die Regelungen zur sachdienlichen Erledigung der Verfahren zweckmäßig sind und sich die Zuständigkeit nicht nach den bisher geltenden Vorschriften richten soll. § 14 Abs. 5 ist entsprechend anzuwenden.</w:t>
      </w:r>
    </w:p>
    <w:p>
      <w:r>
        <w:t xml:space="preserve">(3) Die Landesregierung kann die Ermächtigung nach Absatz 2 durch Rechtsverordnung auf die zuständige oberste Landesbehörde übertragen.</w:t>
      </w:r>
    </w:p>
    <w:p>
      <w:r>
        <w:rPr>
          <w:color w:val="555555"/>
          <w:sz w:val="17"/>
        </w:rPr>
        <w:t xml:space="preserve">Zitiervorschlag: § 17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