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16 ArbGG — Zusammensetzung</w:t>
      </w:r>
    </w:p>
    <w:p>
      <w:r>
        <w:rPr>
          <w:color w:val="555555"/>
          <w:sz w:val="18"/>
        </w:rPr>
        <w:t xml:space="preserve">Arbeitsgerichtsgesetz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Das Arbeitsgericht besteht aus der erforderlichen Zahl von Vorsitzenden und ehrenamtlichen Richtern. Die ehrenamtlichen Richter werden je zur Hälfte aus den Kreisen der Arbeitnehmer und der Arbeitgeber entnommen.</w:t>
      </w:r>
    </w:p>
    <w:p>
      <w:r>
        <w:t xml:space="preserve">(2) Jede Kammer des Arbeitsgerichts wird in der Besetzung mit einem Vorsitzenden und je einem ehrenamtlichen Richter aus Kreisen der Arbeitnehmer und der Arbeitgeber tätig.</w:t>
      </w:r>
    </w:p>
    <w:p>
      <w:r>
        <w:rPr>
          <w:color w:val="555555"/>
          <w:sz w:val="17"/>
        </w:rPr>
        <w:t xml:space="preserve">Zitiervorschlag: § 16 ArbGG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https://recht.nulegal.eu/gesetze/ArbGG/16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