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ArbGG — Errichtung und Organisation</w:t>
      </w:r>
    </w:p>
    <w:p>
      <w:r>
        <w:rPr>
          <w:color w:val="555555"/>
          <w:sz w:val="18"/>
        </w:rPr>
        <w:t xml:space="preserve">Arbeitsgerichtsgesetz</w:t>
      </w:r>
    </w:p>
    <w:p>
      <w:r>
        <w:rPr>
          <w:color w:val="555555"/>
          <w:sz w:val="18"/>
        </w:rPr>
        <w:t xml:space="preserve">Stand: 10.06.2019 (konsolidierte Textfassung, kein amtliches Inkrafttretensdatum)</w:t>
      </w:r>
    </w:p>
    <w:p>
      <w:r>
        <w:t xml:space="preserve">(1) In den Ländern werden Arbeitsgerichte errichtet.</w:t>
      </w:r>
    </w:p>
    <w:p>
      <w:r>
        <w:t xml:space="preserve">(2) Durch Gesetz werden angeordnet</w:t>
      </w:r>
    </w:p>
    <w:p>
      <w:pPr>
        <w:ind w:left="420"/>
      </w:pPr>
      <w:r>
        <w:t xml:space="preserve">1. die Errichtung und Aufhebung eines Arbeitsgerichts;</w:t>
      </w:r>
    </w:p>
    <w:p>
      <w:pPr>
        <w:ind w:left="420"/>
      </w:pPr>
      <w:r>
        <w:t xml:space="preserve">2. die Verlegung eines Gerichtssitzes;</w:t>
      </w:r>
    </w:p>
    <w:p>
      <w:pPr>
        <w:ind w:left="420"/>
      </w:pPr>
      <w:r>
        <w:t xml:space="preserve">3. Änderungen in der Abgrenzung der Gerichtsbezirke;</w:t>
      </w:r>
    </w:p>
    <w:p>
      <w:pPr>
        <w:ind w:left="420"/>
      </w:pPr>
      <w:r>
        <w:t xml:space="preserve">4. die Zuweisung einzelner Sachgebiete an ein Arbeitsgericht für die Bezirke mehrerer Arbeitsgerichte;</w:t>
      </w:r>
    </w:p>
    <w:p>
      <w:pPr>
        <w:ind w:left="420"/>
      </w:pPr>
      <w:r>
        <w:t xml:space="preserve">5. die Errichtung von Kammern des Arbeitsgerichts an anderen Orten;</w:t>
      </w:r>
    </w:p>
    <w:p>
      <w:pPr>
        <w:ind w:left="420"/>
      </w:pPr>
      <w:r>
        <w:t xml:space="preserve">6. der Übergang anhängiger Verfahren auf ein anderes Gericht bei Maßnahmen nach den Nummern 1, 3 und 4, wenn sich die Zuständigkeit nicht nach den bisher geltenden Vorschriften richten soll.</w:t>
      </w:r>
    </w:p>
    <w:p>
      <w:r>
        <w:t xml:space="preserve">(3) Mehrere Länder können die Errichtung eines gemeinsamen Arbeitsgerichts oder gemeinsamer Kammern eines Arbeitsgerichts oder die Ausdehnung von Gerichtsbezirken über die Landesgrenzen hinaus, auch für einzelne Sachgebiete, vereinbaren.</w:t>
      </w:r>
    </w:p>
    <w:p>
      <w:r>
        <w:t xml:space="preserve">(4) Die zuständige oberste Landesbehörde kann anordnen, daß außerhalb des Sitzes des Arbeitsgerichts Gerichtstage abgehalten werden. Die Landesregierung kann ferner durch Rechtsverordnung bestimmen, daß Gerichtstage außerhalb des Sitzes des Arbeitsgerichts abgehalten werden. Die Landesregierung kann die Ermächtigung nach Satz 2 durch Rechtsverordnung auf die zuständige oberste Landesbehörde übertragen.</w:t>
      </w:r>
    </w:p>
    <w:p>
      <w:r>
        <w:t xml:space="preserve">(5) Bei der Vorbereitung gesetzlicher Regelungen nach Absatz 2 Nr. 1 bis 5 und Absatz 3 sind die Gewerkschaften und Vereinigungen von Arbeitgebern, die für das Arbeitsleben im Landesgebiet wesentliche Bedeutung haben, zu hören.</w:t>
      </w:r>
    </w:p>
    <w:p>
      <w:r>
        <w:rPr>
          <w:color w:val="555555"/>
          <w:sz w:val="17"/>
        </w:rPr>
        <w:t xml:space="preserve">Zitiervorschlag: § 14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