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ArbGG — Rechtshilfe</w:t>
      </w:r>
    </w:p>
    <w:p>
      <w:r>
        <w:rPr>
          <w:color w:val="555555"/>
          <w:sz w:val="18"/>
        </w:rPr>
        <w:t xml:space="preserve">Arbeitsgerichtsgesetz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Arbeitsgerichte leisten den Gerichten für Arbeitssachen Rechtshilfe. Ist die Amtshandlung außerhalb des Sitzes eines Arbeitsgerichts vorzunehmen, so leistet das Amtsgericht Rechtshilfe.</w:t>
      </w:r>
    </w:p>
    <w:p>
      <w:r>
        <w:t xml:space="preserve">(2) Die Vorschriften des Gerichtsverfassungsgesetzes über Rechtshilfe und des Einführungsgesetzes zum Gerichtsverfassungsgesetz über verfahrensübergreifende Mitteilungen von Amts wegen finden entsprechende Anwendung.</w:t>
      </w:r>
    </w:p>
    <w:p>
      <w:r>
        <w:rPr>
          <w:color w:val="555555"/>
          <w:sz w:val="17"/>
        </w:rPr>
        <w:t xml:space="preserve">Zitiervorschlag: § 13 ArbGG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https://recht.nulegal.eu/gesetze/ArbGG/13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