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ArbGG — Aufhebungsklage</w:t>
      </w:r>
    </w:p>
    <w:p>
      <w:r>
        <w:rPr>
          <w:color w:val="555555"/>
          <w:sz w:val="18"/>
        </w:rPr>
        <w:t xml:space="preserve">Arbeitsgerichtsgesetz</w:t>
      </w:r>
    </w:p>
    <w:p>
      <w:r>
        <w:rPr>
          <w:color w:val="555555"/>
          <w:sz w:val="18"/>
        </w:rPr>
        <w:t xml:space="preserve">Stand: 10.06.2019 (konsolidierte Textfassung, kein amtliches Inkrafttretensdatum)</w:t>
      </w:r>
    </w:p>
    <w:p>
      <w:r>
        <w:t xml:space="preserve">(1) Auf Aufhebung des Schiedsspruchs kann geklagt werden,</w:t>
      </w:r>
    </w:p>
    <w:p>
      <w:pPr>
        <w:ind w:left="420"/>
      </w:pPr>
      <w:r>
        <w:t xml:space="preserve">1. wenn das schiedsgerichtliche Verfahren unzulässig war;</w:t>
      </w:r>
    </w:p>
    <w:p>
      <w:pPr>
        <w:ind w:left="420"/>
      </w:pPr>
      <w:r>
        <w:t xml:space="preserve">2. wenn der Schiedsspruch auf der Verletzung einer Rechtsnorm beruht;</w:t>
      </w:r>
    </w:p>
    <w:p>
      <w:pPr>
        <w:ind w:left="420"/>
      </w:pPr>
      <w:r>
        <w:t xml:space="preserve">3. wenn die Voraussetzungen vorliegen, unter denen gegen ein gerichtliches Urteil nach § 580 Nr. 1 bis 6 der Zivilprozeßordnung die Restitutionsklage zulässig wäre.</w:t>
      </w:r>
    </w:p>
    <w:p>
      <w:r>
        <w:t xml:space="preserve">(2) Für die Klage ist das Arbeitsgericht zuständig, das für die Geltendmachung des Anspruchs zuständig wäre.</w:t>
      </w:r>
    </w:p>
    <w:p>
      <w:r>
        <w:t xml:space="preserve">(3) Die Klage ist binnen einer Notfrist von zwei Wochen zu erheben. Die Frist beginnt in den Fällen des Absatzes 1 Nr. 1 und 2 mit der Zustellung des Schiedsspruchs. Im Falle des Absatzes 1 Nr. 3 beginnt sie mit der Rechtskraft des Urteils, das die Verurteilung wegen der Straftat ausspricht, oder mit dem Tag, an dem der Partei bekannt geworden ist, daß die Einleitung oder die Durchführung des Verfahrens nicht erfolgen kann; nach Ablauf von zehn Jahren, von der Zustellung des Schiedsspruchs an gerechnet, ist die Klage unstatthaft.</w:t>
      </w:r>
    </w:p>
    <w:p>
      <w:r>
        <w:t xml:space="preserve">(4) Ist der Schiedsspruch für vollstreckbar erklärt, so ist in dem der Klage stattgebenden Urteil auch die Aufhebung der Vollstreckbarkeitserklärung auszusprechen.</w:t>
      </w:r>
    </w:p>
    <w:p>
      <w:r>
        <w:rPr>
          <w:color w:val="555555"/>
          <w:sz w:val="17"/>
        </w:rPr>
        <w:t xml:space="preserve">Zitiervorschlag: § 110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