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ApostilleZVO (Nordrhein-Westfalen)</w:t>
      </w:r>
    </w:p>
    <w:p>
      <w:r>
        <w:rPr>
          <w:color w:val="555555"/>
          <w:sz w:val="18"/>
        </w:rPr>
        <w:t xml:space="preserve">Apostillezuständigkeitsverordnung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August 2005</w:t>
      </w:r>
    </w:p>
    <w:p>
      <w:r>
        <w:t xml:space="preserve">Aufgrund von Artikel 2 Abs. 1 des Gesetzes zu dem Haager Übereinkommen vom 5. Oktober 1961 zur Befreiung ausländischer öffentlicher Urkunden von der Legalisation vom 21. Juni 1965 (BGBl. II S. 875) wird verordnet:</w:t>
      </w:r>
    </w:p>
    <w:p>
      <w:r>
        <w:rPr>
          <w:color w:val="555555"/>
          <w:sz w:val="17"/>
        </w:rPr>
        <w:t xml:space="preserve">Zitiervorschlag: Volltext ApostilleZVO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https://recht.nulegal.eu/gesetze/ApostilleZVO/volltext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ApostilleZVO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