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ApoG</w:t>
      </w:r>
    </w:p>
    <w:p>
      <w:r>
        <w:rPr>
          <w:color w:val="555555"/>
          <w:sz w:val="18"/>
        </w:rPr>
        <w:t xml:space="preserve">Apothekengesetz</w:t>
      </w:r>
    </w:p>
    <w:p>
      <w:r>
        <w:rPr>
          <w:color w:val="555555"/>
          <w:sz w:val="18"/>
        </w:rPr>
        <w:t xml:space="preserve">Stand: 10.06.2019 (konsolidierte Textfassung, kein amtliches Inkrafttretensdatum)</w:t>
      </w:r>
    </w:p>
    <w:p>
      <w:r>
        <w:t xml:space="preserve">(1) Die Verpachtung einer Apotheke oder von Apotheken nach § 2 Abs. 4 ist nur in folgenden Fällen zulässig:</w:t>
      </w:r>
    </w:p>
    <w:p>
      <w:pPr>
        <w:ind w:left="420"/>
      </w:pPr>
      <w:r>
        <w:t xml:space="preserve">1. wenn und solange der Verpächter im Besitz der Erlaubnis ist und die Apotheke aus einem in seiner Person liegenden wichtigen Grund nicht selbst betreiben kann oder die Erlaubnis wegen des Wegfalls einer der Voraussetzungen nach § 2 Abs. 1 Nr. 7 widerrufen oder durch Widerruf der Approbation wegen des Wegfalls einer der Voraussetzungen nach § 4 Abs. 1 Satz 1 Nr. 3 der Bundes-Apothekerordnung erloschen ist;</w:t>
      </w:r>
    </w:p>
    <w:p>
      <w:pPr>
        <w:ind w:left="420"/>
      </w:pPr>
      <w:r>
        <w:t xml:space="preserve">2. nach dem Tode eines Erlaubnisinhabers durch seine erbberechtigten Kinder bis zu dem Zeitpunkt, in dem das jüngste der Kinder das 23. Lebensjahr vollendet. Ergreift eines dieser Kinder vor Vollendung des 23. Lebensjahres den Apothekerberuf, so kann die Frist auf Antrag verlängert werden, bis es in seiner Person die Voraussetzungen für die Erteilung der Erlaubnis erfüllen kann;</w:t>
      </w:r>
    </w:p>
    <w:p>
      <w:pPr>
        <w:ind w:left="420"/>
      </w:pPr>
      <w:r>
        <w:t xml:space="preserve">3. durch den überlebenden erbberechtigten Ehegatten oder Lebenspartner bis zu dem Zeitpunkt der Heirat oder der Begründung einer Lebenspartnerschaft, sofern er nicht selbst eine Erlaubnis gemäß § 1 erhält.</w:t>
      </w:r>
    </w:p>
    <w:p>
      <w:r>
        <w:t xml:space="preserve">Die Zulässigkeit der Verpachtung wird nicht dadurch berührt, daß nach Eintritt der in Satz 1 genannten Fälle eine Apotheke innerhalb desselben Ortes, in Städten innerhalb desselben oder in einen angrenzenden Stadtbezirk, verlegt wird oder daß ihre Betriebsräume geändert werden. Handelt es sich im Falle der Verlegung oder der Veränderung der Betriebsräume um eine Apotheke, die nach Satz 1 Nr. 1 verpachtet ist, so bedarf der Verpächter keiner neuen Erlaubnis. § 3 Nr. 5 bleibt unberührt.</w:t>
      </w:r>
    </w:p>
    <w:p>
      <w:r>
        <w:t xml:space="preserve">(1a) Stirbt der Verpächter vor Ablauf der vereinbarten Pachtzeit, so kann die zuständige Behörde zur Vermeidung unbilliger Härten für den Pächter zulassen, daß das Pachtverhältnis zwischen dem Pächter und dem Erben für die Dauer von höchstens zwölf Monaten fortgesetzt wird.</w:t>
      </w:r>
    </w:p>
    <w:p>
      <w:r>
        <w:t xml:space="preserve">(2) Der Pächter bedarf der Erlaubnis nach § 1. Der Pachtvertrag darf die berufliche Verantwortlichkeit und Entscheidungsfreiheit des pachtenden Apothekers nicht beeinträchtigen.</w:t>
      </w:r>
    </w:p>
    <w:p>
      <w:r>
        <w:t xml:space="preserve">(3) Für die Dauer der Verpachtung finden auf die Erlaubnis des Verpächters § 3 Nr. 4, § 4 Abs. 2, soweit sich diese Vorschrift auf § 2 Abs. 1 Nr. 6 bezieht, sowie § 7 Satz 1 keine Anwendung.</w:t>
      </w:r>
    </w:p>
    <w:p>
      <w:r>
        <w:t xml:space="preserve">(4) Die nach Absatz 2 erteilte Erlaubnis ist zurückzunehmen, wenn bei ihrer Erteilung eine der Voraussetzungen nach Absatz 1 nicht vorgelegen hat; sie ist zu widerrufen, wenn nachträglich eine dieser Voraussetzungen weggefallen ist. § 4 bleibt unberührt.</w:t>
      </w:r>
    </w:p>
    <w:p>
      <w:r>
        <w:rPr>
          <w:color w:val="555555"/>
          <w:sz w:val="17"/>
        </w:rPr>
        <w:t xml:space="preserve">Zitiervorschlag: § 9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