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zurückzunehmen, wenn bei ihrer Erteilung eine der Voraussetzungen nach § 2 nicht vorgelegen hat.</w:t>
      </w:r>
    </w:p>
    <w:p>
      <w:r>
        <w:t xml:space="preserve">(2) Die Erlaubnis ist zu widerrufen, wenn nachträglich eine der Voraussetzungen nach § 2 Abs. 1 Nr. 1, 2, 4, 6 oder 7 weggefallen ist. Die Erlaubnis kann widerrufen werden, wenn der Erlaubnisinhaber nachträglich Vereinbarungen getroffen hat, die gegen § 8 Satz 2 auch in Verbindung mit Satz 4, § 9 Abs. 1, § 10 oder § 11 verstoßen.</w:t>
      </w:r>
    </w:p>
    <w:p>
      <w:r>
        <w:rPr>
          <w:color w:val="555555"/>
          <w:sz w:val="17"/>
        </w:rPr>
        <w:t xml:space="preserve">Zitiervorschlag: § 4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