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ApoG</w:t>
      </w:r>
    </w:p>
    <w:p>
      <w:r>
        <w:rPr>
          <w:color w:val="555555"/>
          <w:sz w:val="18"/>
        </w:rPr>
        <w:t xml:space="preserve">Apothekengesetz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ärztliche und tierärztliche Abgabestellen für Arzneimittel (Hausapotheken) finden die Vorschriften dieses Gesetzes keine Anwendung.</w:t>
      </w:r>
    </w:p>
    <w:p>
      <w:r>
        <w:rPr>
          <w:color w:val="555555"/>
          <w:sz w:val="17"/>
        </w:rPr>
        <w:t xml:space="preserve">Zitiervorschlag: § 30 ApoG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