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erlischt</w:t>
      </w:r>
    </w:p>
    <w:p>
      <w:pPr>
        <w:ind w:left="420"/>
      </w:pPr>
      <w:r>
        <w:t xml:space="preserve">1. durch Tod;</w:t>
      </w:r>
    </w:p>
    <w:p>
      <w:pPr>
        <w:ind w:left="420"/>
      </w:pPr>
      <w:r>
        <w:t xml:space="preserve">2. durch Verzicht;</w:t>
      </w:r>
    </w:p>
    <w:p>
      <w:pPr>
        <w:ind w:left="420"/>
      </w:pPr>
      <w:r>
        <w:t xml:space="preserve">3. durch Rücknahme oder Widerruf der Approbation als Apotheker, durch Verzicht auf die Approbation oder durch Widerruf der Erlaubnis nach § 2 Abs. 2 der Bundes-Apothekerordnung;</w:t>
      </w:r>
    </w:p>
    <w:p>
      <w:pPr>
        <w:ind w:left="420"/>
      </w:pPr>
      <w:r>
        <w:t xml:space="preserve">4. wenn ein Jahr lang von der Erlaubnis kein Gebrauch gemacht worden ist; die zuständige Behörde kann die Frist verlängern, wenn ein wichtiger Grund vorliegt.</w:t>
      </w:r>
    </w:p>
    <w:p>
      <w:pPr>
        <w:ind w:left="420"/>
      </w:pPr>
      <w:r>
        <w:t xml:space="preserve">5. (weggefallen)</w:t>
      </w:r>
    </w:p>
    <w:p>
      <w:r>
        <w:rPr>
          <w:color w:val="555555"/>
          <w:sz w:val="17"/>
        </w:rPr>
        <w:t xml:space="preserve">Zitiervorschlag: § 3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