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28a ApoG</w:t>
      </w:r>
    </w:p>
    <w:p>
      <w:r>
        <w:rPr>
          <w:color w:val="555555"/>
          <w:sz w:val="18"/>
        </w:rPr>
        <w:t xml:space="preserve">Apothekengesetz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Eine vor dem 1. Januar 2026 ausgestellte Erlaubnis zum Versand von apothekenpflichtigen Arzneimitteln gemäß § 43 Absatz 1 Satz 1 des Arzneimittelgesetzes gilt auch als Erlaubnis für den Versand von apothekenpflichtigen Tierarzneimitteln gemäß den §§ 43 und 44a Absatz 2 des Tierarzneimittelgesetzes.</w:t>
      </w:r>
    </w:p>
    <w:p>
      <w:r>
        <w:rPr>
          <w:color w:val="555555"/>
          <w:sz w:val="17"/>
        </w:rPr>
        <w:t xml:space="preserve">Zitiervorschlag: § 28a ApoG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https://recht.nulegal.eu/gesetze/ApoG/28a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