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verpachteten Apotheken gilt die dem Pächter verliehene Betriebserlaubnis oder die Bestätigung als Pächter als Erlaubnis nach § 1.</w:t>
      </w:r>
    </w:p>
    <w:p>
      <w:r>
        <w:t xml:space="preserve">(2) Am 1. Mai 1960 bestehende Verträge über die Verpachtung oder Verwaltung einer Apotheke, die den §§ 9 und 13 nicht entsprechen, bleiben bis zum Ablauf der vereinbarten Vertragsdauer in Kraft, wenn sie nicht zu einem früheren Zeitpunkt ihre Gültigkeit verlieren.</w:t>
      </w:r>
    </w:p>
    <w:p>
      <w:r>
        <w:rPr>
          <w:color w:val="555555"/>
          <w:sz w:val="17"/>
        </w:rPr>
        <w:t xml:space="preserve">Zitiervorschlag: § 28 ApoG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