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ApoG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Inhaber von anderen als den in § 26 bezeichneten Apothekenbetriebsberechtigungen bedürfen zum Betreiben der Apotheke einer Erlaubnis nach § 1. Soweit sie beim Inkrafttreten dieses Gesetzes eine Apotheke auf Grund einer solchen Berechtigung betreiben, gilt die Erlaubnis als erteilt.</w:t>
      </w:r>
    </w:p>
    <w:p>
      <w:r>
        <w:t xml:space="preserve">(2) Soweit eine solche Berechtigung nach Maßgabe der Verleihungsurkunde und der bis zum Inkrafttreten dieses Gesetzes geltenden landesrechtlichen Bestimmungen von einer Person, die nicht eine der Voraussetzungen des § 2 Abs. 1 Nr. 3 erfüllt, genutzt werden durfte, verbleibt es dabei. Die Nutzung hat durch Verpachtung zu erfolgen; § 9 findet keine Anwendung; § 13 bleibt unberührt.</w:t>
      </w:r>
    </w:p>
    <w:p>
      <w:r>
        <w:t xml:space="preserve">(3) Inhabern einer solchen Berechtigung wird eine Erlaubnis zum Betrieb einer anderen Apotheke, die keine Zweigapotheke ist, nur erteilt, wenn sie auf die bisherige Berechtigung verzichten.</w:t>
      </w:r>
    </w:p>
    <w:p>
      <w:r>
        <w:rPr>
          <w:color w:val="555555"/>
          <w:sz w:val="17"/>
        </w:rPr>
        <w:t xml:space="preserve">Zitiervorschlag: § 27 ApoG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