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ApoG</w:t>
      </w:r>
    </w:p>
    <w:p>
      <w:r>
        <w:rPr>
          <w:color w:val="555555"/>
          <w:sz w:val="18"/>
        </w:rPr>
        <w:t xml:space="preserve">Apothekengesetz</w:t>
      </w:r>
    </w:p>
    <w:p>
      <w:r>
        <w:rPr>
          <w:color w:val="555555"/>
          <w:sz w:val="18"/>
        </w:rPr>
        <w:t xml:space="preserve">Stand: 10.06.2019 (konsolidierte Textfassung, kein amtliches Inkrafttretensdatum)</w:t>
      </w:r>
    </w:p>
    <w:p>
      <w:r>
        <w:t xml:space="preserve">(1) Apotheken, die von der zuständigen Behörde zur Dienstbereitschaft im Notdienst durchgehend in der Zeit von spätestens 20 Uhr bis mindestens 6 Uhr des Folgetages bestimmt wurden und den Notdienst vollständig erbracht haben, erhalten hierfür einen pauschalen Zuschuss.</w:t>
      </w:r>
    </w:p>
    <w:p>
      <w:r>
        <w:t xml:space="preserve">(2) Die für die Einteilung zur Dienstbereitschaft im Notdienst zuständige Behörde teilt dem Deutschen Apothekerverband e. V. für ihren Zuständigkeitsbereich nach jedem Quartalsende spätestens bis zum Ende des folgenden Monats die Apotheken mit, die im jeweiligen Quartal Notdienste nach Absatz 1 erbracht haben, sowie die Anzahl der jeweils erbrachten Notdienste.</w:t>
      </w:r>
    </w:p>
    <w:p>
      <w:r>
        <w:t xml:space="preserve">(3) Der Deutsche Apothekerverband e. V. setzt gegenüber den Apotheken für jedes Quartal den pauschalen Zuschuss nach Absatz 1 fest und zahlt ihn für jeden nach Absatz 2 mitgeteilten Notdienst an die Apotheken aus dem Fonds nach § 18 Absatz 1 Satz 1 nach jedem Quartalsende spätestens bis zum Ablauf des folgenden Quartals aus. § 19 Absatz 2 Satz 3 bis 9 gilt entsprechend. Der Zuschuss errechnet sich als Quotient aus der um die Ausgaben nach § 18 Absatz 2 Satz 2, einschließlich der nach § 19 Absatz 4 zu erstattenden Kosten, und die Beträge zur Bildung von Betriebsmitteln nach § 18 Absatz 2 Satz 4 und zur Erfüllung der Verpflichtungen aus Darlehen nach § 18 Absatz 2 Satz 5 bereinigten Summe der beim Fonds vorhandenen Anteile nach § 19 Absatz 1 und der Anzahl der nach Absatz 2 mitgeteilten Notdienste.</w:t>
      </w:r>
    </w:p>
    <w:p>
      <w:r>
        <w:rPr>
          <w:color w:val="555555"/>
          <w:sz w:val="17"/>
        </w:rPr>
        <w:t xml:space="preserve">Zitiervorschlag: § 20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