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12a ApoG</w:t>
      </w:r>
    </w:p>
    <w:p>
      <w:r>
        <w:rPr>
          <w:color w:val="555555"/>
          <w:sz w:val="18"/>
        </w:rPr>
        <w:t xml:space="preserve">Apothekengesetz</w:t>
      </w:r>
    </w:p>
    <w:p>
      <w:r>
        <w:rPr>
          <w:color w:val="555555"/>
          <w:sz w:val="18"/>
        </w:rPr>
        <w:t xml:space="preserve">Stand: 03.07.2026 (konsolidierte Textfassung, kein amtliches Inkrafttretensdatum)</w:t>
      </w:r>
    </w:p>
    <w:p>
      <w:r>
        <w:t xml:space="preserve">(1) Der Inhaber einer Erlaubnis zum Betrieb einer öffentlichen Apotheke ist verpflichtet, zur Versorgung von Bewohnern von Heimen im Sinne des § 1 des Heimgesetzes mit Arzneimitteln und apothekenpflichtigen Medizinprodukten mit dem Träger der Heime einen schriftlichen Vertrag zu schließen. Der Vertrag bedarf zu seiner Rechtswirksamkeit der Genehmigung der zuständigen Behörde. Die Genehmigung ist zu erteilen, wenn</w:t>
      </w:r>
    </w:p>
    <w:p>
      <w:pPr>
        <w:ind w:left="420"/>
      </w:pPr>
      <w:r>
        <w:t xml:space="preserve">1. die öffentliche Apotheke und die zu versorgenden Heime innerhalb desselben Kreises oder derselben kreisfreien Stadt oder in einander benachbarten Kreisen oder kreisfreien Städten liegen,</w:t>
      </w:r>
    </w:p>
    <w:p>
      <w:pPr>
        <w:ind w:left="420"/>
      </w:pPr>
      <w:r>
        <w:t xml:space="preserve">2. die ordnungsgemäße Arzneimittelversorgung gewährleistet ist, insbesondere Art und Umfang der Versorgung, das Zutrittsrecht zum Heim sowie die Pflichten zur Überprüfung der ordnungsgemäßen, bewohnerbezogenen Aufbewahrung der von ihm gelieferten Produkte durch pharmazeutisches Personal der Apotheke sowie die Dokumentation dieser Versorgung vertraglich festgelegt sind,</w:t>
      </w:r>
    </w:p>
    <w:p>
      <w:pPr>
        <w:ind w:left="420"/>
      </w:pPr>
      <w:r>
        <w:t xml:space="preserve">3. die Pflichten des Apothekers zur Information und Beratung von Heimbewohnern und des für die Verabreichung oder Anwendung der gelieferten Produkte Verantwortlichen festgelegt sind, soweit eine Information und Beratung zur Sicherheit der Heimbewohner oder der Beschäftigten des Heimes erforderlich sind,</w:t>
      </w:r>
    </w:p>
    <w:p>
      <w:pPr>
        <w:ind w:left="420"/>
      </w:pPr>
      <w:r>
        <w:t xml:space="preserve">4. der Vertrag die freie Apothekenwahl von Heimbewohnern nicht einschränkt und</w:t>
      </w:r>
    </w:p>
    <w:p>
      <w:pPr>
        <w:ind w:left="420"/>
      </w:pPr>
      <w:r>
        <w:t xml:space="preserve">5. der Vertrag keine Ausschließlichkeitsbindung zugunsten einer Apotheke enthält und die Zuständigkeitsbereiche mehrerer an der Versorgung beteiligter Apotheken klar abgrenzt.</w:t>
      </w:r>
    </w:p>
    <w:p>
      <w:r>
        <w:t xml:space="preserve">Nachträgliche Änderungen oder Ergänzungen des Vertrages sind der zuständigen Behörde unverzüglich anzuzeigen.</w:t>
      </w:r>
    </w:p>
    <w:p>
      <w:r>
        <w:t xml:space="preserve">(2) Die Versorgung ist vor Aufnahme der Tätigkeit der zuständigen Behörde anzuzeigen.</w:t>
      </w:r>
    </w:p>
    <w:p>
      <w:r>
        <w:t xml:space="preserve">(3) Soweit Bewohner von Heimen sich selbst mit Arzneimitteln und apothekenpflichtigen Medizinprodukten aus öffentlichen Apotheken versorgen, bedarf es keines Vertrages nach Absatz 1.</w:t>
      </w:r>
    </w:p>
    <w:p>
      <w:r>
        <w:t xml:space="preserve">(4) Im Fall eines bestehenden Vertrages nach Absatz 1 Satz 1 kann der Inhaber einer Erlaubnis zum Betrieb einer öffentlichen Apotheke mit Ärzten Absprachen darüber treffen, dass bis zum Ablauf des 31. Dezember 2028 Verschreibungen, einschließlich Verschreibungen in elektronischer Form oder elektronische Zugangsdaten zu Verschreibungen in elektronischer Form, für Bewohner des Heims, die auf Grundlage des Vertrags mit Arzneimitteln oder apothekenpflichtigen Medizinprodukten versorgt werden, von diesen Ärzten gesammelt und unmittelbar an seine Apotheke übermittelt werden.</w:t>
      </w:r>
    </w:p>
    <w:p>
      <w:r>
        <w:rPr>
          <w:color w:val="555555"/>
          <w:sz w:val="17"/>
        </w:rPr>
        <w:t xml:space="preserve">Zitiervorschlag: § 12a ApoG</w:t>
      </w:r>
    </w:p>
    <w:p>
      <w:r>
        <w:rPr>
          <w:color w:val="555555"/>
          <w:sz w:val="17"/>
        </w:rPr>
        <w:t xml:space="preserve">Quelle: Bundesamt für Justiz, abgerufen 03.07.2026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