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11b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nach § 11a ist zurückzunehmen, wenn bei ihrer Erteilung eine der Voraussetzungen nach § 11a nicht vorgelegen hat.</w:t>
      </w:r>
    </w:p>
    <w:p>
      <w:r>
        <w:t xml:space="preserve">(2) Die Erlaubnis ist zu widerrufen, wenn nachträglich eine der Voraussetzungen nach § 11a weggefallen ist. Die Erlaubnis kann widerrufen werden, wenn Tatsachen die Annahme rechtfertigen, dass der Erlaubnisinhaber entgegen einer vollziehbaren Anordnung der zuständigen Behörde die Apotheke nicht den Anforderungen des § 11a Satz 1 Nr. 1 bis 3, Satz 2 oder einer Rechtsverordnung nach § 21 entsprechend betreibt.</w:t>
      </w:r>
    </w:p>
    <w:p>
      <w:r>
        <w:t xml:space="preserve">(3) Wird der Versandhandel ohne Erlaubnis betrieben, gilt § 5 entsprechend.</w:t>
      </w:r>
    </w:p>
    <w:p>
      <w:r>
        <w:rPr>
          <w:color w:val="555555"/>
          <w:sz w:val="17"/>
        </w:rPr>
        <w:t xml:space="preserve">Zitiervorschlag: § 11b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https://recht.nulegal.eu/gesetze/ApoG/11b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