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AnzV 2006</w:t>
      </w:r>
    </w:p>
    <w:p>
      <w:r>
        <w:rPr>
          <w:color w:val="555555"/>
          <w:sz w:val="18"/>
        </w:rPr>
        <w:t xml:space="preserve">Anzeigenverordnung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Bundesanstalt für Finanzdienstleistungsaufsicht verordnet</w:t>
      </w:r>
    </w:p>
    <w:p>
      <w:pPr>
        <w:ind w:left="420"/>
      </w:pPr>
      <w:r>
        <w:t xml:space="preserve">- auf Grund des § 24 Abs. 4 Satz 1 und 3, auch in Verbindung mit § 2b Abs. 1 Satz 2 und 3, des Kreditwesengesetzes in der Fassung der Bekanntmachung vom 9. September 1998 (BGBl. I S. 2776), von denen § 2b Abs. 1 Satz 2 und 3 zuletzt durch Artikel 6 Nr. 5 Buchstabe a des Gesetzes vom 21. Juni 2002 (BGBl. I S. 2010) und § 24 Abs. 4 zuletzt durch Artikel 1 Nr. 30 des Gesetzes vom 17. November 2006 (BGBl. I S. 2606) geändert worden ist, nach Anhörung der Spitzenverbände der Institute im Einvernehmen mit der Deutschen Bundesbank und</w:t>
      </w:r>
    </w:p>
    <w:p>
      <w:pPr>
        <w:ind w:left="420"/>
      </w:pPr>
      <w:r>
        <w:t xml:space="preserve">- auf Grund des § 31 Abs. 1 Satz 1 Nr. 1 des Kreditwesengesetzes in der Fassung der Bekanntmachung vom 9. September 1998 (BGBl. I S. 2776) im Benehmen mit der Deutschen Bundesbank,</w:t>
      </w:r>
    </w:p>
    <w:p>
      <w:r>
        <w:t xml:space="preserve">jeweils in Verbindung mit § 1 Nr. 5 der Verordnung zur Übertragung von Befugnissen zum Erlass von Rechtsverordnungen auf die Bundesanstalt für Finanzdienstleistungsaufsicht vom 13. Dezember 2002 (BGBl. 2003 I S. 3), der zuletzt durch die Verordnung vom 17. November 2005 (BGBl. I S. 3187) geändert worden ist:</w:t>
      </w:r>
    </w:p>
    <w:p>
      <w:r>
        <w:rPr>
          <w:color w:val="555555"/>
          <w:sz w:val="17"/>
        </w:rPr>
        <w:t xml:space="preserve">Zitiervorschlag: Eingangsformel AnzV 2006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https://recht.nulegal.eu/gesetze/AnzV%202006/eingangsformel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