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21 AnzV 2006</w:t>
      </w:r>
    </w:p>
    <w:p>
      <w:r>
        <w:rPr>
          <w:color w:val="555555"/>
          <w:sz w:val="18"/>
        </w:rPr>
        <w:t xml:space="preserve">Anzeigenverordnung</w:t>
      </w:r>
    </w:p>
    <w:p>
      <w:r>
        <w:rPr>
          <w:color w:val="555555"/>
          <w:sz w:val="18"/>
        </w:rPr>
        <w:t xml:space="preserve">Stand: 03.01.2024 (konsolidierte Textfassung, kein amtliches Inkrafttretensdatum)</w:t>
      </w:r>
    </w:p>
    <w:p>
      <w:r>
        <w:t xml:space="preserve">(Fundstelle: BGBl 2023 I Nr. 411, S. 76)</w:t>
      </w:r>
    </w:p>
    <w:p>
      <w:r>
        <w:t xml:space="preserve">[Abbildung]</w:t>
      </w:r>
    </w:p>
    <w:p>
      <w:r>
        <w:rPr>
          <w:color w:val="555555"/>
          <w:sz w:val="17"/>
        </w:rPr>
        <w:t xml:space="preserve">Zitiervorschlag: Anlage 21 AnzV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https://recht.nulegal.eu/gesetze/AnzV%202006/anlage-21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