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AnzV 2006 — Anzeigen nach § 24 Abs. 1 Nr. 6 des Kreditwesengesetzes (Zweigstelle und grenzüberschreitender Dienstleistungsverkehr ohne Errichtung einer Zweigstelle im Drittstaat)</w:t>
      </w:r>
    </w:p>
    <w:p>
      <w:r>
        <w:rPr>
          <w:color w:val="555555"/>
          <w:sz w:val="18"/>
        </w:rPr>
        <w:t xml:space="preserve">Anzeigenverordnung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Anzeige nach § 24 Abs. 1 Nr. 6 des Kreditwesengesetzes muss enthalten:</w:t>
      </w:r>
    </w:p>
    <w:p>
      <w:pPr>
        <w:ind w:left="420"/>
      </w:pPr>
      <w:r>
        <w:t xml:space="preserve">1. die Bezeichnung des Staates, in dem die Zweigstelle errichtet, verlegt oder geschlossen oder die grenzüberschreitende Dienstleistung aufgenommen oder beendet wurde,</w:t>
      </w:r>
    </w:p>
    <w:p>
      <w:pPr>
        <w:ind w:left="420"/>
      </w:pPr>
      <w:r>
        <w:t xml:space="preserve">2. die Anschrift der Zweigstelle, die errichtet, verlegt oder geschlossen wurde; bei Verlegung der Zweigstelle ferner deren neue Anschrift und</w:t>
      </w:r>
    </w:p>
    <w:p>
      <w:pPr>
        <w:ind w:left="420"/>
      </w:pPr>
      <w:r>
        <w:t xml:space="preserve">3. die Bezeichnung aller aufgenommenen Bank- oder Finanzdienstleistungsgeschäfte entsprechend den Vorgaben des § 1 Abs. 1 Satz 2 und Abs. 1a Satz 2 des Kreditwesengesetzes.</w:t>
      </w:r>
    </w:p>
    <w:p>
      <w:r>
        <w:t xml:space="preserve">Mehrere zeitgleich einzureichende Anzeigen nach Satz 1 können in einer Anzeige zusammengefasst werden, solange deren Übersichtlichkeit erhalten bleibt.</w:t>
      </w:r>
    </w:p>
    <w:p>
      <w:r>
        <w:rPr>
          <w:color w:val="555555"/>
          <w:sz w:val="17"/>
        </w:rPr>
        <w:t xml:space="preserve">Zitiervorschlag: § 6 AnzV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https://recht.nulegal.eu/gesetze/AnzV%202006/6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