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5f AnzV 2006 — Geschäftsleiter-Vertreter im Verhinderungsfall</w:t>
      </w:r>
    </w:p>
    <w:p>
      <w:r>
        <w:rPr>
          <w:color w:val="555555"/>
          <w:sz w:val="18"/>
        </w:rPr>
        <w:t xml:space="preserve">Anzeigenverordnung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Bestimmungen nach den §§ 5 bis 5e gelten auch für die Bestellung und das Ausscheiden eines Geschäftsleiter-Vertreters, der im Fall der Verhinderung eines Geschäftsleiters dessen Funktion ausüben soll.</w:t>
      </w:r>
    </w:p>
    <w:p>
      <w:r>
        <w:rPr>
          <w:color w:val="555555"/>
          <w:sz w:val="17"/>
        </w:rPr>
        <w:t xml:space="preserve">Zitiervorschlag: § 5f AnzV 2006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https://recht.nulegal.eu/gesetze/AnzV%202006/5f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