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AnzV 2006 — Anzeigen nach § 24 Absatz 1 Nummer 17 und Absatz 1b Satz 2 des Kreditwesengesetzes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Anzeigen nach § 24 Absatz 1 Nummer 17 und Absatz 1b Satz 2 des Kreditwesengesetzes müssen enthalten:</w:t>
      </w:r>
    </w:p>
    <w:p>
      <w:pPr>
        <w:ind w:left="420"/>
      </w:pPr>
      <w:r>
        <w:t xml:space="preserve">1. Angaben über die Höhe und die Art der Berechnung des nach § 24 Absatz 1 Nummer 17 des Kreditwesengesetzes maßgeblichen Prozentsatzes,</w:t>
      </w:r>
    </w:p>
    <w:p>
      <w:pPr>
        <w:ind w:left="420"/>
      </w:pPr>
      <w:r>
        <w:t xml:space="preserve">2. die Kreditbedingungen sowie</w:t>
      </w:r>
    </w:p>
    <w:p>
      <w:pPr>
        <w:ind w:left="420"/>
      </w:pPr>
      <w:r>
        <w:t xml:space="preserve">3. die gestellten Sicherheiten.</w:t>
      </w:r>
    </w:p>
    <w:p>
      <w:r>
        <w:t xml:space="preserve">(2) Anzeigen nach § 24 Absatz 1b Satz 2 des Kreditwesengesetzes sind als Änderungsanzeigen zu kennzeichnen.</w:t>
      </w:r>
    </w:p>
    <w:p>
      <w:r>
        <w:t xml:space="preserve">(3) Kredite sind nicht nach § 24 Absatz 1b Satz 2 des Kreditwesengesetzes anzuzeigen, wenn</w:t>
      </w:r>
    </w:p>
    <w:p>
      <w:pPr>
        <w:ind w:left="420"/>
      </w:pPr>
      <w:r>
        <w:t xml:space="preserve">1. sie bereits nach § 24 Absatz 1 Nummer 17 des Kreditwesengesetzes angezeigt wurden und</w:t>
      </w:r>
    </w:p>
    <w:p>
      <w:pPr>
        <w:ind w:left="420"/>
      </w:pPr>
      <w:r>
        <w:t xml:space="preserve">2. sich die rechtsgeschäftliche Änderung der Kreditbedingungen auf eine Anpassung des Zinssatzes entsprechend der Entwicklung des Marktzinses beschränkt.</w:t>
      </w:r>
    </w:p>
    <w:p>
      <w:r>
        <w:rPr>
          <w:color w:val="555555"/>
          <w:sz w:val="17"/>
        </w:rPr>
        <w:t xml:space="preserve">Zitiervorschlag: § 4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