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12 AnzV 2006 — Anzeigen nach § 24a Abs. 1, 3 und 4 des Kreditwesengesetzes (Errichtung einer Zweigniederlassung und Erbringung grenzüberschreitenden Dienstleistungsverkehrs in einem anderen Staat des Europäischen Wirtschaftsraums)</w:t>
      </w:r>
    </w:p>
    <w:p>
      <w:r>
        <w:rPr>
          <w:color w:val="555555"/>
          <w:sz w:val="18"/>
        </w:rPr>
        <w:t xml:space="preserve">Anzeigenverordnung</w:t>
      </w:r>
    </w:p>
    <w:p>
      <w:r>
        <w:rPr>
          <w:color w:val="555555"/>
          <w:sz w:val="18"/>
        </w:rPr>
        <w:t xml:space="preserve">Stand: 10.06.2019 (konsolidierte Textfassung, kein amtliches Inkrafttretensdatum)</w:t>
      </w:r>
    </w:p>
    <w:p>
      <w:r>
        <w:t xml:space="preserve">(1) Anzeigen nach § 24a Abs. 1, 3 und 4 des Kreditwesengesetzes sind für jeden Staat des Europäischen Wirtschaftsraums gesondert einzureichen. Den Anzeigen nach § 24a Abs. 1 und 3 des Kreditwesengesetzes an die Aufsichtsbehörde sind im Fall der Aufnahmestaaten Österreich, Liechtenstein und Luxemburg eine zweite Ausfertigung und im Fall der übrigen Staaten des Europäischen Wirtschaftsraums eine Übersetzung in eine Amtssprache des Aufnahmestaates beizufügen. Sofern die Änderungsanzeige nach § 24a Abs. 4 des Kreditwesengesetzes an die zuständige Behörde des Aufnahmestaates nicht in einer Amtssprache dieses Staates abgefasst ist, ist dieser eine amtlich beglaubigte Übersetzung in eine solche Amtssprache beizufügen.</w:t>
      </w:r>
    </w:p>
    <w:p>
      <w:r>
        <w:t xml:space="preserve">(2) Eine Änderungsanzeige nach § 24a Abs. 4 des Kreditwesengesetzes ist auch einzureichen, wenn die Zweigstelle geschlossen oder die erbrachte grenzüberschreitende Dienstleistung eingestellt wird.</w:t>
      </w:r>
    </w:p>
    <w:p>
      <w:r>
        <w:t xml:space="preserve">(3) Im Geschäftsplan müssen die vorgesehenen geschäftlichen Aktivitäten typenmäßig bezeichnet werden entsprechend den Vorgaben in:</w:t>
      </w:r>
    </w:p>
    <w:p>
      <w:pPr>
        <w:ind w:left="420"/>
      </w:pPr>
      <w:r>
        <w:t xml:space="preserve">1. Anhang I der Richtlinie 2013/36/EU des Europäischen Parlaments und des Rates vom 26. Juni 2013 über den Zugang zur Tätigkeit von Kreditinstituten und die Beaufsichtigung von Kreditinstituten und Wertpapierfirmen, zur Änderung der Richtlinie 2002/87/EG und zur Aufhebung der Richtlinien 2006/48/EG und 2006/49/EG (ABl. L 176 vom 27.6.2013, S. 338, L 208 vom 2.8.2013, S. 73), die zuletzt durch die Richtlinie 2014/59/EU (ABl. L 173 vom 12.6.2014, S. 190) geändert worden ist, und</w:t>
      </w:r>
    </w:p>
    <w:p>
      <w:pPr>
        <w:ind w:left="420"/>
      </w:pPr>
      <w:r>
        <w:t xml:space="preserve">2. Anhang I der Richtlinie 2004/39/EG des Europäischen Parlaments und des Rates vom 21. April 2004 über Märkte für Finanzinstrumente, zur Änderung der Richtlinien 85/611/EWG und 93/6/EWG des Rates und der Richtlinie 2000/12/EG des Europäischen Parlaments und des Rates und zur Aufhebung der Richtlinie 93/22/EWG des Rates (ABl. L 145 vom 30.4.2004, S. 1, L 45 vom 16.2.2005, S. 18, L 54 vom 22.2.2014, S. 23), die zuletzt durch die Richtlinie 2010/78/EU (ABl. L 331 vom 15.12.2010, S. 120, L 170 vom 30.6.2011, S. 43, L 54 vom 22.2.2014, S. 23) geändert worden ist.</w:t>
      </w:r>
    </w:p>
    <w:p>
      <w:r>
        <w:t xml:space="preserve">(4) Für Anzeigen nach § 24a Abs. 1 des Kreditwesengesetzes gelten zudem folgende Bestimmungen:</w:t>
      </w:r>
    </w:p>
    <w:p>
      <w:pPr>
        <w:ind w:left="420"/>
      </w:pPr>
      <w:r>
        <w:t xml:space="preserve">1. Gesetzliche Beschränkungen des Umfangs der Erlaubnis sind darzulegen; Bausparkassen müssen darauf hinweisen, dass die Entgegennahme von Einlagen und die Vornahme von Ausleihungen in der Form des Bauspargeschäftes betrieben werden sollen.</w:t>
      </w:r>
    </w:p>
    <w:p>
      <w:pPr>
        <w:ind w:left="420"/>
      </w:pPr>
      <w:r>
        <w:t xml:space="preserve">2. Sämtliche in Aussicht genommenen Geschäfte, die in der Zweigniederlassung ausgeführt werden sollen, sind im Einzelnen zu erläutern; die Entwicklung deren Volumens und die hierfür erforderliche Personalausstattung sind für die ersten drei Jahre zu schätzen.</w:t>
      </w:r>
    </w:p>
    <w:p>
      <w:pPr>
        <w:ind w:left="420"/>
      </w:pPr>
      <w:r>
        <w:t xml:space="preserve">3. Ist die Errichtung mehrerer Betriebsstellen im Aufnahmestaat geplant, sind hierzu nähere Angaben zu machen.</w:t>
      </w:r>
    </w:p>
    <w:p>
      <w:pPr>
        <w:ind w:left="420"/>
      </w:pPr>
      <w:r>
        <w:t xml:space="preserve">4. Der Geschäftsplan muss außerdem den organisatorischen Aufbau der Zweigniederlassung darstellen. Dazu sind die internen Entscheidungskompetenzen, die Vertretungsmacht und die Art der Einbindung der Zweigniederlassung in das interne Kontrollverfahren des Instituts zu beschreiben.</w:t>
      </w:r>
    </w:p>
    <w:p>
      <w:pPr>
        <w:ind w:left="420"/>
      </w:pPr>
      <w:r>
        <w:t xml:space="preserve">5. Lebensläufe der Leiter der Zweigniederlassung unter besonderer Darstellung deren beruflichen Werdeganges sind beizufügen.</w:t>
      </w:r>
    </w:p>
    <w:p>
      <w:r>
        <w:t xml:space="preserve">Satz 1 gilt für die nach § 24a Abs. 4 des Kreditwesengesetzes anzuzeigenden Änderungen der Verhältnisse bestehender Zweigniederlassungen entsprechend.</w:t>
      </w:r>
    </w:p>
    <w:p>
      <w:r>
        <w:rPr>
          <w:color w:val="555555"/>
          <w:sz w:val="17"/>
        </w:rPr>
        <w:t xml:space="preserve">Zitiervorschlag: § 12 AnzV 2006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https://recht.nulegal.eu/gesetze/AnzV%202006/12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12 AnzV 2006</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