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AnwZpvV</w:t>
      </w:r>
    </w:p>
    <w:p>
      <w:r>
        <w:rPr>
          <w:color w:val="555555"/>
          <w:sz w:val="18"/>
        </w:rPr>
        <w:t xml:space="preserve">Anwendungszeitpunktverschiebungsverordnung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 Absatz 4 Nummer 1c des Einkommensteuergesetzes in der Fassung der Bekanntmachung vom 8. Oktober 2009 (BGBl. I S. 3366, 3862) verordnet das Bundesministerium der Finanzen:</w:t>
      </w:r>
    </w:p>
    <w:p>
      <w:r>
        <w:rPr>
          <w:color w:val="555555"/>
          <w:sz w:val="17"/>
        </w:rPr>
        <w:t xml:space="preserve">Zitiervorschlag: Eingangsformel AnwZpvV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https://recht.nulegal.eu/gesetze/AnwZpvV/eingangsformel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