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AntiDopG — Selbstdoping</w:t>
      </w:r>
    </w:p>
    <w:p>
      <w:r>
        <w:rPr>
          <w:color w:val="555555"/>
          <w:sz w:val="18"/>
        </w:rPr>
        <w:t xml:space="preserve">Anti-Doping-Gesetz</w:t>
      </w:r>
    </w:p>
    <w:p>
      <w:r>
        <w:rPr>
          <w:color w:val="555555"/>
          <w:sz w:val="18"/>
        </w:rPr>
        <w:t xml:space="preserve">Stand: 10.06.2019 (konsolidierte Textfassung, kein amtliches Inkrafttretensdatum)</w:t>
      </w:r>
    </w:p>
    <w:p>
      <w:r>
        <w:t xml:space="preserve">(1) Es ist verboten,</w:t>
      </w:r>
    </w:p>
    <w:p>
      <w:pPr>
        <w:ind w:left="420"/>
      </w:pPr>
      <w:r>
        <w:t xml:space="preserve">1. ein Dopingmittel, das ein in der Anlage I des Internationalen Übereinkommens gegen Doping aufgeführter Stoff ist oder einen solchen enthält, sofern dieser Stoff nach der Anlage I des Internationalen Übereinkommens gegen Doping nicht nur in bestimmten Sportarten verboten ist, oder</w:t>
      </w:r>
    </w:p>
    <w:p>
      <w:pPr>
        <w:ind w:left="420"/>
      </w:pPr>
      <w:r>
        <w:t xml:space="preserve">2. eine Dopingmethode, die in der Anlage I des Internationalen Übereinkommens gegen Doping aufgeführt ist,</w:t>
      </w:r>
    </w:p>
    <w:p>
      <w:r>
        <w:t xml:space="preserve">ohne medizinische Indikation bei sich in der Absicht, sich in einem Wettbewerb des organisierten Sports einen Vorteil zu verschaffen, anzuwenden oder anwenden zu lassen. Das Verbot nach Satz 1 gilt nicht, wenn das Dopingmittel außerhalb eines Wettbewerbs des organisierten Sports angewendet wird und das Dopingmittel ein Stoff ist oder einen solchen enthält, der nach der Anlage I des Internationalen Übereinkommens gegen Doping nur im Wettbewerb verboten ist.</w:t>
      </w:r>
    </w:p>
    <w:p>
      <w:r>
        <w:t xml:space="preserve">(2) Ebenso ist es verboten, an einem Wettbewerb des organisierten Sports unter Anwendung eines Dopingmittels nach Absatz 1 Satz 1 Nummer 1 oder einer Dopingmethode nach Absatz 1 Satz 1 Nummer 2 teilzunehmen, wenn diese Anwendung ohne medizinische Indikation und in der Absicht erfolgt, sich in dem Wettbewerb einen Vorteil zu verschaffen.</w:t>
      </w:r>
    </w:p>
    <w:p>
      <w:r>
        <w:t xml:space="preserve">(3) Ein Wettbewerb des organisierten Sports im Sinne dieser Vorschrift ist jede Sportveranstaltung, die</w:t>
      </w:r>
    </w:p>
    <w:p>
      <w:pPr>
        <w:ind w:left="420"/>
      </w:pPr>
      <w:r>
        <w:t xml:space="preserve">1. von einer nationalen oder internationalen Sportorganisation oder in deren Auftrag oder mit deren Anerkennung organisiert wird und</w:t>
      </w:r>
    </w:p>
    <w:p>
      <w:pPr>
        <w:ind w:left="420"/>
      </w:pPr>
      <w:r>
        <w:t xml:space="preserve">2. bei der Regeln einzuhalten sind, die von einer nationalen oder internationalen Sportorganisation mit verpflichtender Wirkung für ihre Mitgliedsorganisationen verabschiedet wurden.</w:t>
      </w:r>
    </w:p>
    <w:p>
      <w:r>
        <w:t xml:space="preserve">(4) Es ist verboten, ein Dopingmittel nach Absatz 1 Satz 1 Nummer 1 zu erwerben oder zu besitzen, um es ohne medizinische Indikation bei sich anzuwenden oder anwenden zu lassen und um sich dadurch in einem Wettbewerb des organisierten Sports einen Vorteil zu verschaffen. Absatz 1 Satz 2 gilt entsprechend.</w:t>
      </w:r>
    </w:p>
    <w:p>
      <w:r>
        <w:rPr>
          <w:color w:val="555555"/>
          <w:sz w:val="17"/>
        </w:rPr>
        <w:t xml:space="preserve">Zitiervorschlag: § 3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