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AntiDopG — Unerlaubter Umgang mit Dopingmitteln, unerlaubte Anwendung von Dopingmethoden</w:t>
      </w:r>
    </w:p>
    <w:p>
      <w:r>
        <w:rPr>
          <w:color w:val="555555"/>
          <w:sz w:val="18"/>
        </w:rPr>
        <w:t xml:space="preserve">Anti-Doping-Gesetz</w:t>
      </w:r>
    </w:p>
    <w:p>
      <w:r>
        <w:rPr>
          <w:color w:val="555555"/>
          <w:sz w:val="18"/>
        </w:rPr>
        <w:t xml:space="preserve">Stand: 01.07.2020 (konsolidierte Textfassung, kein amtliches Inkrafttretensdatum)</w:t>
      </w:r>
    </w:p>
    <w:p>
      <w:r>
        <w:t xml:space="preserve">(1) Es ist verboten, ein Dopingmittel, das ein in der Anlage I des Internationalen Übereinkommens vom 19. Oktober 2005 gegen Doping im Sport (BGBl. 2007 II S. 354, 355) in der vom Bundesministerium des Innern, für Bau und Heimat jeweils im Bundesgesetzblatt Teil II bekannt gemachten Fassung (Internationales Übereinkommen gegen Doping) aufgeführter Stoff ist oder einen solchen enthält, zum Zwecke des Dopings beim Menschen im Sport</w:t>
      </w:r>
    </w:p>
    <w:p>
      <w:pPr>
        <w:ind w:left="420"/>
      </w:pPr>
      <w:r>
        <w:t xml:space="preserve">1. herzustellen,</w:t>
      </w:r>
    </w:p>
    <w:p>
      <w:pPr>
        <w:ind w:left="420"/>
      </w:pPr>
      <w:r>
        <w:t xml:space="preserve">2. mit ihm Handel zu treiben,</w:t>
      </w:r>
    </w:p>
    <w:p>
      <w:pPr>
        <w:ind w:left="420"/>
      </w:pPr>
      <w:r>
        <w:t xml:space="preserve">3. es, ohne mit ihm Handel zu treiben, zu veräußern, abzugeben oder sonst in den Verkehr zu bringen oder</w:t>
      </w:r>
    </w:p>
    <w:p>
      <w:pPr>
        <w:ind w:left="420"/>
      </w:pPr>
      <w:r>
        <w:t xml:space="preserve">4. zu verschreiben.</w:t>
      </w:r>
    </w:p>
    <w:p>
      <w:r>
        <w:t xml:space="preserve">(2) Es ist verboten,</w:t>
      </w:r>
    </w:p>
    <w:p>
      <w:pPr>
        <w:ind w:left="420"/>
      </w:pPr>
      <w:r>
        <w:t xml:space="preserve">1. ein Dopingmittel, das ein in der Anlage I des Internationalen Übereinkommens gegen Doping aufgeführter Stoff ist oder einen solchen enthält, oder</w:t>
      </w:r>
    </w:p>
    <w:p>
      <w:pPr>
        <w:ind w:left="420"/>
      </w:pPr>
      <w:r>
        <w:t xml:space="preserve">2. eine Dopingmethode, die in der Anlage I des Internationalen Übereinkommens gegen Doping aufgeführt ist,</w:t>
      </w:r>
    </w:p>
    <w:p>
      <w:r>
        <w:t xml:space="preserve">zum Zwecke des Dopings im Sport bei einer anderen Person anzuwenden.</w:t>
      </w:r>
    </w:p>
    <w:p>
      <w:r>
        <w:t xml:space="preserve">(3) Es ist verboten, ein Dopingmittel, das ein in der Anlage zu diesem Gesetz aufgeführter Stoff ist oder einen solchen enthält, in nicht geringer Menge zum Zwecke des Dopings beim Menschen im Sport zu erwerben, zu besitzen oder in oder durch den Geltungsbereich dieses Gesetzes zu verbringen.</w:t>
      </w:r>
    </w:p>
    <w:p>
      <w:r>
        <w:rPr>
          <w:color w:val="555555"/>
          <w:sz w:val="17"/>
        </w:rPr>
        <w:t xml:space="preserve">Zitiervorschlag: § 2 AntiDopG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https://recht.nulegal.eu/gesetze/AntiDopG/2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