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AntiDopG — Konzentration der Rechtsprechung in Dopingsachen; Verordnungsermächtigung</w:t>
      </w:r>
    </w:p>
    <w:p>
      <w:r>
        <w:rPr>
          <w:color w:val="555555"/>
          <w:sz w:val="18"/>
        </w:rPr>
        <w:t xml:space="preserve">Anti-Doping-Gesetz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werden ermächtigt, durch Rechtsverordnung die strafrechtlichen Verfahren nach § 4 ganz oder teilweise für die Bezirke mehrerer Amts- oder Landgerichte einem dieser Amts- oder Landgerichte zuzuweisen, sofern dies der sachlichen Förderung oder der schnelleren Erledigung der Verfahren dient. Die Landesregierungen können die Ermächtigung nach Satz 1 durch Rechtsverordnung auf die Landesjustizverwaltungen übertragen.</w:t>
      </w:r>
    </w:p>
    <w:p>
      <w:r>
        <w:rPr>
          <w:color w:val="555555"/>
          <w:sz w:val="17"/>
        </w:rPr>
        <w:t xml:space="preserve">Zitiervorschlag: § 12 AntiDopG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https://recht.nulegal.eu/gesetze/AntiDopG/12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