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AntiDopG — Schiedsgerichtsbarkeit</w:t>
      </w:r>
    </w:p>
    <w:p>
      <w:r>
        <w:rPr>
          <w:color w:val="555555"/>
          <w:sz w:val="18"/>
        </w:rPr>
        <w:t xml:space="preserve">Anti-Doping-Gesetz</w:t>
      </w:r>
    </w:p>
    <w:p>
      <w:r>
        <w:rPr>
          <w:color w:val="555555"/>
          <w:sz w:val="18"/>
        </w:rPr>
        <w:t xml:space="preserve">Stand: 10.06.2019 (konsolidierte Textfassung, kein amtliches Inkrafttretensdatum)</w:t>
      </w:r>
    </w:p>
    <w:p>
      <w:r>
        <w:t xml:space="preserve">Sportverbände und Sportlerinnen und Sportler können als Voraussetzung der Teilnahme von Sportlerinnen und Sportlern an der organisierten Sportausübung Schiedsvereinbarungen über die Beilegung von Rechtsstreitigkeiten mit Bezug auf diese Teilnahme schließen, wenn die Schiedsvereinbarungen die Sportverbände und Sportlerinnen und Sportler in die nationalen oder internationalen Sportorganisationen einbinden und die organisierte Sportausübung insgesamt ermöglichen, fördern oder sichern. Das ist insbesondere der Fall, wenn mit den Schiedsvereinbarungen die Vorgaben des Welt Anti-Doping Codes der Welt Anti-Doping Agentur umgesetzt werden sollen.</w:t>
      </w:r>
    </w:p>
    <w:p>
      <w:r>
        <w:rPr>
          <w:color w:val="555555"/>
          <w:sz w:val="17"/>
        </w:rPr>
        <w:t xml:space="preserve">Zitiervorschlag: § 11 AntiDopG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https://recht.nulegal.eu/gesetze/AntiDopG/11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