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AntiDopG — Umgang mit Gesundheitsdaten</w:t>
      </w:r>
    </w:p>
    <w:p>
      <w:r>
        <w:rPr>
          <w:color w:val="555555"/>
          <w:sz w:val="18"/>
        </w:rPr>
        <w:t xml:space="preserve">Anti-Doping-Gesetz</w:t>
      </w:r>
    </w:p>
    <w:p>
      <w:r>
        <w:rPr>
          <w:color w:val="555555"/>
          <w:sz w:val="18"/>
        </w:rPr>
        <w:t xml:space="preserve">Stand: 02.12.2019 (konsolidierte Textfassung, kein amtliches Inkrafttretensdatum)</w:t>
      </w:r>
    </w:p>
    <w:p>
      <w:r>
        <w:t xml:space="preserve">(1) Die Stiftung Nationale Anti Doping Agentur Deutschland ist berechtigt, im Rahmen des Dopingkontrollsystems folgende Gesundheitsdaten zu verarbeiten, soweit dies zur Durchführung ihres Dopingkontrollsystems erforderlich ist:</w:t>
      </w:r>
    </w:p>
    <w:p>
      <w:pPr>
        <w:ind w:left="420"/>
      </w:pPr>
      <w:r>
        <w:t xml:space="preserve">1. Blut- und Urinwerte sowie aus anderen Körperflüssigkeiten und Gewebe gewonnene Werte, die erforderlich sind, um die Anwendung verbotener Dopingmittel oder Dopingmethoden nachzuweisen,</w:t>
      </w:r>
    </w:p>
    <w:p>
      <w:pPr>
        <w:ind w:left="420"/>
      </w:pPr>
      <w:r>
        <w:t xml:space="preserve">2. die für die Erteilung einer medizinischen Ausnahmegenehmigung für die erlaubte Anwendung verbotener Dopingmittel oder Dopingmethoden erforderlichen Angaben.</w:t>
      </w:r>
    </w:p>
    <w:p>
      <w:r>
        <w:t xml:space="preserve">Die Analyse der Dopingproben ist durch von der Welt Anti-Doping Agentur akkreditierte oder anerkannte Labore durchzuführen.</w:t>
      </w:r>
    </w:p>
    <w:p>
      <w:r>
        <w:t xml:space="preserve">(2) Die Stiftung Nationale Anti Doping Agentur Deutschland ist berechtigt, Ergebnisse von Dopingproben und Disziplinarverfahren im Rahmen des Dopingkontrollsystems sowie eine erteilte medizinische Ausnahmegenehmigung gemäß Absatz 1 Satz 1 Nummer 2 an eine andere nationale Anti-Doping-Organisation, einen internationalen Sportfachverband, einen internationalen Veranstalter von Sportwettkämpfen oder die Welt Anti-Doping Agentur zu übermitteln, soweit dieser oder diese für die Dopingbekämpfung nach dem Dopingkontrollsystem der Stiftung Nationale Anti Doping Agentur Deutschland und der Welt Anti-Doping Agentur zuständig ist und die Übermittlung zur Durchführung dieses Dopingkontrollsystems erforderlich ist. Die Gesundheitsdaten, die die Stiftung Nationale Anti Doping Agentur Deutschland bei der Beantragung von medizinischen Ausnahmegenehmigungen für eine erlaubte Anwendung verbotener Dopingmittel oder Dopingmethoden erhält, dürfen ausschließlich auf gesonderten Antrag der Welt Anti-Doping Agentur an diese übermittelt werden.</w:t>
      </w:r>
    </w:p>
    <w:p>
      <w:r>
        <w:rPr>
          <w:color w:val="555555"/>
          <w:sz w:val="17"/>
        </w:rPr>
        <w:t xml:space="preserve">Zitiervorschlag: § 10 AntiDopG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https://recht.nulegal.eu/gesetze/AntiDopG/10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