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AntiDopG — Zweck des Gesetzes</w:t>
      </w:r>
    </w:p>
    <w:p>
      <w:r>
        <w:rPr>
          <w:color w:val="555555"/>
          <w:sz w:val="18"/>
        </w:rPr>
        <w:t xml:space="preserve">Anti-Doping-Gesetz</w:t>
      </w:r>
    </w:p>
    <w:p>
      <w:r>
        <w:rPr>
          <w:color w:val="555555"/>
          <w:sz w:val="18"/>
        </w:rPr>
        <w:t xml:space="preserve">Stand: 10.06.2019 (konsolidierte Textfassung, kein amtliches Inkrafttretensdatum)</w:t>
      </w:r>
    </w:p>
    <w:p>
      <w:r>
        <w:t xml:space="preserve">Dieses Gesetz dient der Bekämpfung des Einsatzes von Dopingmitteln und Dopingmethoden im Sport, um die Gesundheit der Sportlerinnen und Sportler zu schützen, die Fairness und Chancengleichheit bei Sportwettbewerben zu sichern und damit zur Erhaltung der Integrität des Sports beizutragen.</w:t>
      </w:r>
    </w:p>
    <w:p>
      <w:r>
        <w:rPr>
          <w:color w:val="555555"/>
          <w:sz w:val="17"/>
        </w:rPr>
        <w:t xml:space="preserve">Zitiervorschlag: § 1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