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AntiDHG — Übergang gesetzlicher Schadensersatzansprüche</w:t>
      </w:r>
    </w:p>
    <w:p>
      <w:r>
        <w:rPr>
          <w:color w:val="555555"/>
          <w:sz w:val="18"/>
        </w:rPr>
        <w:t xml:space="preserve">Anti-D-Hilfegesetz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§ 120 des Vierzehnten Buches Sozialgesetzbuch gilt mit der Maßgabe, dass der gegen Dritte bestehende gesetzliche Schadensersatzanspruch auf das nach § 11 Abs. 1 für die Durchführung dieses Gesetzes jeweils zuständige Land übergeht.</w:t>
      </w:r>
    </w:p>
    <w:p>
      <w:r>
        <w:t xml:space="preserve">(2) Die eingezogenen Beträge führt das Land an den Bund und die in § 10 Abs. 3 genannten Länder in dem Verhältnis ab, in dem diese sich an der Kostenlast beteiligt haben.</w:t>
      </w:r>
    </w:p>
    <w:p>
      <w:r>
        <w:rPr>
          <w:color w:val="555555"/>
          <w:sz w:val="17"/>
        </w:rPr>
        <w:t xml:space="preserve">Zitiervorschlag: § 9 AntiDHG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