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AntiDHG — Beginn, Änderung und Zahlung der Hilfe</w:t>
      </w:r>
    </w:p>
    <w:p>
      <w:r>
        <w:rPr>
          <w:color w:val="555555"/>
          <w:sz w:val="18"/>
        </w:rPr>
        <w:t xml:space="preserve">Anti-D-Hilfegesetz</w:t>
      </w:r>
    </w:p>
    <w:p>
      <w:r>
        <w:rPr>
          <w:color w:val="555555"/>
          <w:sz w:val="18"/>
        </w:rPr>
        <w:t xml:space="preserve">Stand: 01.01.2024 (konsolidierte Textfassung, kein amtliches Inkrafttretensdatum)</w:t>
      </w:r>
    </w:p>
    <w:p>
      <w:r>
        <w:t xml:space="preserve">(1) Die Hilfen nach den §§ 3 und 4 werden auf Antrag gewährt. Rentenleistungen nach § 3 Abs. 2 und Hilfen nach § 4 beginnen mit dem Monat, in dem die dafür geltenden Voraussetzungen erfüllt sind, jedoch frühestens mit dem Antragsmonat bei Renten nach § 3 Abs. 2 und frühestens mit dem auf den Sterbemonat folgenden Monat bei Hilfen nach § 4. Werden Hilfen im Sinne des Satzes 2 innerhalb eines Jahres nach Verkündung dieses Gesetzes beantragt, beginnt die Leistungsgewährung frühestens mit seinem Inkrafttreten.</w:t>
      </w:r>
    </w:p>
    <w:p>
      <w:r>
        <w:t xml:space="preserve">(2) Der Grad der Schädigungsfolgen Berechtigter darf nicht vor Ablauf von zwei Jahren nach Bekanntgabe des Feststellungsbescheids niedriger festgesetzt werden. Ist durch Krankenbehandlung eine wesentliche oder nachhaltige Besserung des schädigungsbedingten Gesundheitszustandes erreicht worden, so ist die niedrigere Festsetzung schon früher zulässig, jedoch frühestens nach Ablauf eines Jahres nach Abschluss dieser Behandlung.</w:t>
      </w:r>
    </w:p>
    <w:p>
      <w:r>
        <w:t xml:space="preserve">(3) Die Versorgungsbezüge werden in Monatsbeträgen zuerkannt, auf volle Euro aufgerundet und monatlich im Voraus gezahlt. Das Krankengeld der Sozialen Entschädigung nach § 47 des Vierzehnten Buches Sozialgesetzbuch und eine Beihilfe nach § 48 des Vierzehnten Buches Sozialgesetzbuch werden tageweise zuerkannt und mit Ablauf jeder Woche gezahlt. § 47 Absatz 1 des Ersten Buches Sozialgesetzbuch und § 118 Absatz 3 bis 4a des Sechsten Buches Sozialgesetzbuch gelten entsprechend.</w:t>
      </w:r>
    </w:p>
    <w:p>
      <w:r>
        <w:t xml:space="preserve">(4) Abweichend von Absatz 1 Satz 1 wird über die Hilfen nach den §§ 3 und 4 von Amts wegen entschieden, wenn bereits eine Anerkennung nach dem Bundes-Seuchengesetz vorliegt oder beantragt ist, die auf einem Tatbestand des § 1 beruht.</w:t>
      </w:r>
    </w:p>
    <w:p>
      <w:r>
        <w:rPr>
          <w:color w:val="555555"/>
          <w:sz w:val="17"/>
        </w:rPr>
        <w:t xml:space="preserve">Zitiervorschlag: § 7 AntiDHG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https://recht.nulegal.eu/gesetze/AntiDHG/7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