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AntiDHG — Zusammentreffen mit anderen Ansprüchen, Übertragbarkeit</w:t>
      </w:r>
    </w:p>
    <w:p>
      <w:r>
        <w:rPr>
          <w:color w:val="555555"/>
          <w:sz w:val="18"/>
        </w:rPr>
        <w:t xml:space="preserve">Anti-D-Hilfegesetz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Einmalzahlungen nach § 3 Abs. 3 bleiben als Einkommen und Vermögen unberücksichtigt, wenn bei Sozialleistungen die Gewährung oder die Höhe von anderen Einkommen abhängt. Monatliche Renten nach § 3 Abs. 2 werden hälftig als Einkommen berücksichtigt, wenn bei Sozialleistungen die Gewährung oder die Höhe von anderen Einkommen abhängt.</w:t>
      </w:r>
    </w:p>
    <w:p>
      <w:r>
        <w:t xml:space="preserve">(2) Unabhängig davon werden Einmalzahlung und monatliche Rente bei sonstigen gesetzlich vorgesehenen Ermittlungen von Einkommen und Vermögen nicht berücksichtigt.</w:t>
      </w:r>
    </w:p>
    <w:p>
      <w:r>
        <w:t xml:space="preserve">(3) Ansprüche auf Hilfen nach diesem Gesetz können nicht übertragen, verpfändet oder gepfändet werden.</w:t>
      </w:r>
    </w:p>
    <w:p>
      <w:r>
        <w:rPr>
          <w:color w:val="555555"/>
          <w:sz w:val="17"/>
        </w:rPr>
        <w:t xml:space="preserve">Zitiervorschlag: § 6 AntiDHG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https://recht.nulegal.eu/gesetze/AntiDHG/6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