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AntiDHG — Krankenbehandlung</w:t>
      </w:r>
    </w:p>
    <w:p>
      <w:r>
        <w:rPr>
          <w:color w:val="555555"/>
          <w:sz w:val="18"/>
        </w:rPr>
        <w:t xml:space="preserve">Anti-D-Hilfegesetz</w:t>
      </w:r>
    </w:p>
    <w:p>
      <w:r>
        <w:rPr>
          <w:color w:val="555555"/>
          <w:sz w:val="18"/>
        </w:rPr>
        <w:t xml:space="preserve">Stand: 16.01.2024 (konsolidierte Textfassung, kein amtliches Inkrafttretensdatum)</w:t>
      </w:r>
    </w:p>
    <w:p>
      <w:r>
        <w:t xml:space="preserve">Berechtigte nach § 1 Abs. 1 Satz 1 erhalten für die durch die Hepatitis-C-Virus-Infektion verursachten gesundheitlichen Folgen Krankenbehandlung in entsprechender Anwendung der §§ 41 bis 61 des Vierzehnten Buches Sozialgesetzbuch.</w:t>
      </w:r>
    </w:p>
    <w:p>
      <w:r>
        <w:rPr>
          <w:color w:val="555555"/>
          <w:sz w:val="17"/>
        </w:rPr>
        <w:t xml:space="preserve">Zitiervorschlag: § 2 AntiDHG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https://recht.nulegal.eu/gesetze/AntiDHG/2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