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AntiDHG — Inkrafttreten</w:t>
      </w:r>
    </w:p>
    <w:p>
      <w:r>
        <w:rPr>
          <w:color w:val="555555"/>
          <w:sz w:val="18"/>
        </w:rPr>
        <w:t xml:space="preserve">Anti-D-Hilfegesetz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mit Wirkung vom 1. Januar 2000 in Kraft.</w:t>
      </w:r>
    </w:p>
    <w:p>
      <w:r>
        <w:rPr>
          <w:color w:val="555555"/>
          <w:sz w:val="17"/>
        </w:rPr>
        <w:t xml:space="preserve">Zitiervorschlag: § 16 AntiDHG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https://recht.nulegal.eu/gesetze/AntiDHG/16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