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AntiDHG — Besitzstände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(1) Solange die Hilfen nach § 3 Abs. 2 und § 4 nicht die Höhe der beim Inkrafttreten dieses Gesetzes nach dem Bundes-Seuchengesetz gezahlten Leistungen erreichen, wird der jeweilige Differenzbetrag als Besitzstand weiter gezahlt.</w:t>
      </w:r>
    </w:p>
    <w:p>
      <w:r>
        <w:t xml:space="preserve">(2) Geschädigte, deren Anspruch auf Heil- und Krankenbehandlung bis zum 31. Dezember 2023 nach diesem Gesetz bestandskräftig festgestellt worden ist, erhalten ab dem 1. Januar 2024 Leistungen nach § 143 des Vierzehnten Buches Sozialgesetzbuch.</w:t>
      </w:r>
    </w:p>
    <w:p>
      <w:r>
        <w:t xml:space="preserve">(3) Soweit Ansprüche auf Hilfen nach diesem Gesetz bestehen, ist Anlage I Kapitel X Sachgebiet D Abschnitt III Nummer 3 Buchstabe c des Einigungsvertrages nicht mehr anzuwenden. Nach dem Bundes-Seuchengesetz festgestellte Ansprüche erlöschen, soweit sie auf einem Tatbestand des § 1 dieses Gesetzes beruhen. Die bis zum Inkrafttreten dieses Gesetzes geleisteten Zahlungen nach dem Bundes-Seuchengesetz werden, soweit sie auf einem Tatbestand des § 1 beruhen, jedoch so lange weiter gewährt, bis über Ansprüche nach § 3 Abs. 2 in Verbindung mit Abs. 1 und § 4 entschieden wurde; sie sind auf Zahlungen nach § 3 Abs. 2 in Verbindung mit Abs. 1 und § 4 für denselben Zeitraum anzurechnen. Dies gilt entsprechend für bisher gewährte Heil- und Krankenbehandlung.</w:t>
      </w:r>
    </w:p>
    <w:p>
      <w:r>
        <w:rPr>
          <w:color w:val="555555"/>
          <w:sz w:val="17"/>
        </w:rPr>
        <w:t xml:space="preserve">Zitiervorschlag: § 13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