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AntarktUmwSchProtAG — Berichtspflicht</w:t>
      </w:r>
    </w:p>
    <w:p>
      <w:r>
        <w:rPr>
          <w:color w:val="555555"/>
          <w:sz w:val="18"/>
        </w:rPr>
        <w:t xml:space="preserve">Umweltschutzprotokoll-Ausführungsgesetz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Erarbeitung des jährlichen Berichts nach Artikel 17 des Umweltschutzprotokolls zum Antarktis-Vertrag obliegt dem Umweltbundesamt.</w:t>
      </w:r>
    </w:p>
    <w:p>
      <w:r>
        <w:rPr>
          <w:color w:val="555555"/>
          <w:sz w:val="17"/>
        </w:rPr>
        <w:t xml:space="preserve">Zitiervorschlag: § 40 AntarktUmwSchProtAG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https://recht.nulegal.eu/gesetze/AntarktUmwSchProtAG/40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