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AntarktUmwSchProtAG — Begriffsbestimmungen, Gebote und Verbote</w:t>
      </w:r>
    </w:p>
    <w:p>
      <w:r>
        <w:rPr>
          <w:color w:val="555555"/>
          <w:sz w:val="18"/>
        </w:rPr>
        <w:t xml:space="preserve">Umweltschutzprotokoll-Ausführungsgesetz</w:t>
      </w:r>
    </w:p>
    <w:p>
      <w:r>
        <w:rPr>
          <w:color w:val="555555"/>
          <w:sz w:val="18"/>
        </w:rPr>
        <w:t xml:space="preserve">Stand: 10.06.2019 (konsolidierte Textfassung, kein amtliches Inkrafttretensdatum)</w:t>
      </w:r>
    </w:p>
    <w:p>
      <w:r>
        <w:t xml:space="preserve">(1) Im Sinne dieses Gesetzes sind:</w:t>
      </w:r>
    </w:p>
    <w:p>
      <w:pPr>
        <w:ind w:left="420"/>
      </w:pPr>
      <w:r>
        <w:t xml:space="preserve">1. Antarktis:Gebiet südlich von 60 Grad südlicher Breite;</w:t>
      </w:r>
    </w:p>
    <w:p>
      <w:pPr>
        <w:ind w:left="420"/>
      </w:pPr>
      <w:r>
        <w:t xml:space="preserve">2. Tätigkeit:Expeditionen, Reisen, Versorgungsfahrten und -flüge, Inspektionen und sonstige Unternehmungen in die oder in der Antarktis sowie der Bau, Umbau, Abbau oder Betrieb wissenschaftlicher Stationen und sonstiger Anlagen und Einrichtungen, die in der Bundesrepublik Deutschland organisiert werden oder von ihrem Hoheitsgebiet ausgehen. Der Begriff der Tätigkeit schließt jede Veränderung einer Tätigkeit ein;</w:t>
      </w:r>
    </w:p>
    <w:p>
      <w:pPr>
        <w:ind w:left="420"/>
      </w:pPr>
      <w:r>
        <w:t xml:space="preserve">3. Umwelterheblichkeitsprüfung:die vorläufige Bewertung der Umweltauswirkungen nach Artikel 2 der Anlage I des Umweltschutzprotokolls zum Antarktis-Vertrag;</w:t>
      </w:r>
    </w:p>
    <w:p>
      <w:pPr>
        <w:ind w:left="420"/>
      </w:pPr>
      <w:r>
        <w:t xml:space="preserve">4. Umweltverträglichkeitsprüfung:die umfassende Bewertung der Umweltauswirkungen nach Artikel 3 der Anlage I des Umweltschutzprotokolls zum Antarktis-Vertrag;</w:t>
      </w:r>
    </w:p>
    <w:p>
      <w:pPr>
        <w:ind w:left="420"/>
      </w:pPr>
      <w:r>
        <w:t xml:space="preserve">5. Abfälle:bewegliche Sachen, auch flüssige und gasförmige, derer sich der Besitzer entledigen will, oder deren geordnete Entsorgung zur Wahrung des Wohles der Allgemeinheit, insbesondere des Schutzes der Umwelt geboten ist, oder radioaktive Reststoffe sowie ausgebaute oder abgebaute radioaktive Anlagenteile, die nach § 9a Abs. 1 Nr. 2 des Atomgesetzes geordnet zu beseitigen sind.</w:t>
      </w:r>
    </w:p>
    <w:p>
      <w:r>
        <w:t xml:space="preserve">(2) Die in den §§ 17, 18, 20 bis 24, 26, 29, 32 und 34 und in Rechtsverordnungen nach § 5 Abs. 7 genannten Gebote und Verbote gelten für Teilnehmer einer Tätigkeit nach Absatz 1 Nr. 2 und für natürliche Personen mit Wohnsitz oder gewöhnlichem Aufenthalt im Gebiet der Bundesrepublik Deutschland.</w:t>
      </w:r>
    </w:p>
    <w:p>
      <w:r>
        <w:rPr>
          <w:color w:val="555555"/>
          <w:sz w:val="17"/>
        </w:rPr>
        <w:t xml:space="preserve">Zitiervorschlag: § 2 AntarktUmwSchProtAG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https://recht.nulegal.eu/gesetze/AntarktUmwSchProtAG/2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