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AntarktUmwSchProtAG — Unterrichtung Dritter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Genehmigungen nach § 12 Abs. 2 sind mit Begründung und allen entscheidungserheblichen Unterlagen</w:t>
      </w:r>
    </w:p>
    <w:p>
      <w:pPr>
        <w:ind w:left="420"/>
      </w:pPr>
      <w:r>
        <w:t xml:space="preserve">1. am Sitz des Umweltbundesamts zur allgemeinen Einsicht bereitzuhalten,</w:t>
      </w:r>
    </w:p>
    <w:p>
      <w:pPr>
        <w:ind w:left="420"/>
      </w:pPr>
      <w:r>
        <w:t xml:space="preserve">2. den Vertragsparteien des Umweltschutzprotokolls zum Antarktis-Vertrag und dem Ausschuß für Umweltschutz gemäß Artikel 11 des Umweltschutzprotokolls zum Antarktis-Vertrag auf diplomatischem Weg zu übermitteln. Das Datum der Übermittlung ist dem Antragsteller mitzuteilen.</w:t>
      </w:r>
    </w:p>
    <w:p>
      <w:r>
        <w:t xml:space="preserve">(2) Eine Tätigkeit, für die eine Genehmigung nach § 12 Abs. 2 erteilt worden ist, darf erst nach Ablauf von sechzig Tagen nach der Übermittlung der in Absatz 1 genannten Unterlagen an die Vertragsparteien des Antarktis-Vertrages begonnen werden.</w:t>
      </w:r>
    </w:p>
    <w:p>
      <w:r>
        <w:rPr>
          <w:color w:val="555555"/>
          <w:sz w:val="17"/>
        </w:rPr>
        <w:t xml:space="preserve">Zitiervorschlag: § 13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