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AntKostV — Inkrafttreten</w:t>
      </w:r>
    </w:p>
    <w:p>
      <w:r>
        <w:rPr>
          <w:color w:val="555555"/>
          <w:sz w:val="18"/>
        </w:rPr>
        <w:t xml:space="preserve">Kostenverordnung für Amtshandlungen nach dem Umweltschutzprotokoll-Ausführungsgesetz vom 22. September 1994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5 AntKostV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https://recht.nulegal.eu/gesetze/AntKostV/5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