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AntKostV — Gebühren in besonderen Fällen</w:t>
      </w:r>
    </w:p>
    <w:p>
      <w:r>
        <w:rPr>
          <w:color w:val="555555"/>
          <w:sz w:val="18"/>
        </w:rPr>
        <w:t xml:space="preserve">Kostenverordnung für Amtshandlungen nach dem Umweltschutzprotokoll-Ausführungsgesetz vom 22. September 1994</w:t>
      </w:r>
    </w:p>
    <w:p>
      <w:r>
        <w:rPr>
          <w:color w:val="555555"/>
          <w:sz w:val="18"/>
        </w:rPr>
        <w:t xml:space="preserve">Historische Fassung: Stand 10.06.2019 bis 01.10.2021. Dies ist nicht die aktuelle Fassung.</w:t>
      </w:r>
    </w:p>
    <w:p>
      <w:r>
        <w:t xml:space="preserve">(1) In den Fällen des Widerrufs oder der Rücknahme einer Genehmigung, der Ablehnung oder Zurücknahme eines Antrags auf Erteilung einer Genehmigung werden Gebühren nach Maßgabe des § 23 Absatz 5 Satz 1 und 2 des Bundesgebührengesetzes erhoben.</w:t>
      </w:r>
    </w:p>
    <w:p>
      <w:r>
        <w:t xml:space="preserve">(2) Für die vollständige oder teilweise Zurückweisung eines gegen die Sachentscheidung gerichteten Widerspruchs wird eine Gebühr bis zur Höhe der für die angegriffene individuell zurechenbare öffentliche Leistung vorgesehenen Gebühr erhoben. Dies gilt nicht, wenn der Widerspruch nur deshalb keinen Erfolg hat, weil die Verletzung einer Verfahrens- oder Formvorschrift nach § 45 des Verwaltungsverfahrensgesetzes unbeachtlich ist. Wird ein Widerspruch nach Beginn der sachlichen Bearbeitung, jedoch vor deren Beendigung zurückgenommen, kann die Gebühr bis zu einem Viertel der vorgesehenen Gebühr ermäßigt werden. Für die Zurückweisung eines ausschließlich gegen eine Gebührenfestsetzung gerichteten Widerspruchs kann eine Gebühr bis zu 10 vom Hundert des streitigen Betrags erhoben werden.</w:t>
      </w:r>
    </w:p>
    <w:p>
      <w:r>
        <w:t xml:space="preserve">(3) Für die nachträgliche Anordnung einer Auflage, zu der der Antragsteller Anlass gegeben hat, beträgt die Gebühr höchstens ein Viertel der für die Genehmigung festgesetzten Gebühr.</w:t>
      </w:r>
    </w:p>
    <w:p>
      <w:r>
        <w:rPr>
          <w:color w:val="555555"/>
          <w:sz w:val="17"/>
        </w:rPr>
        <w:t xml:space="preserve">Zitiervorschlag: § 3 AntKostV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https://recht.nulegal.eu/gesetze/AntKostV/3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