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AntKostV — Gebühren und Auslagen</w:t>
      </w:r>
    </w:p>
    <w:p>
      <w:r>
        <w:rPr>
          <w:color w:val="555555"/>
          <w:sz w:val="18"/>
        </w:rPr>
        <w:t xml:space="preserve">Kostenverordnung für Amtshandlungen nach dem Umweltschutzprotokoll-Ausführungsgesetz vom 22. September 1994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Das Umweltbundesamt erhebt für individuell zurechenbare öffentliche Leistungen nach dem Umweltschutzprotokoll-Ausführungsgesetz Gebühren und Auslagen nach dieser Verordnung.</w:t>
      </w:r>
    </w:p>
    <w:p>
      <w:r>
        <w:t xml:space="preserve">(2) Für die Erhebung von Auslagen gilt § 23 Absatz 6 des Bundesgebührengesetzes. Im Übrigen sind die §§ 4 bis 6, 8, 13 bis 21 und 23 Absatz 5 Satz 1 und 2 des Bundesgebührengesetzes auch anwendbar, soweit diese Verordnung keine besonderen Regelungen enthält.</w:t>
      </w:r>
    </w:p>
    <w:p>
      <w:r>
        <w:rPr>
          <w:color w:val="555555"/>
          <w:sz w:val="17"/>
        </w:rPr>
        <w:t xml:space="preserve">Zitiervorschlag: § 1 AntKostV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