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AnrV 2023 — Inkrafttreten</w:t>
      </w:r>
    </w:p>
    <w:p>
      <w:r>
        <w:rPr>
          <w:color w:val="555555"/>
          <w:sz w:val="18"/>
        </w:rPr>
        <w:t xml:space="preserve">54. Anrechnungsverordnung</w:t>
      </w:r>
    </w:p>
    <w:p>
      <w:r>
        <w:rPr>
          <w:color w:val="555555"/>
          <w:sz w:val="18"/>
        </w:rPr>
        <w:t xml:space="preserve">Stand: 01.07.2023 (konsolidierte Textfassung, kein amtliches Inkrafttretensdatum)</w:t>
      </w:r>
    </w:p>
    <w:p>
      <w:r>
        <w:t xml:space="preserve">Diese Verordnung tritt am 1. Juli 2023 in Kraft. Gleichzeitig tritt die 53. Anrechnungsverordnung vom 28. Juni 2022 (BGBl. I S. 1014) außer Kraft.</w:t>
      </w:r>
    </w:p>
    <w:p>
      <w:r>
        <w:rPr>
          <w:color w:val="555555"/>
          <w:sz w:val="17"/>
        </w:rPr>
        <w:t xml:space="preserve">Zitiervorschlag: § 6 AnrV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https://recht.nulegal.eu/gesetze/AnrV%202023/6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