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AnrV 2023 — Rundungsvorschrift und Zusammentreffen von Einkommensgruppen</w:t>
      </w:r>
    </w:p>
    <w:p>
      <w:r>
        <w:rPr>
          <w:color w:val="555555"/>
          <w:sz w:val="18"/>
        </w:rPr>
        <w:t xml:space="preserve">54. Anrechnungsverordnung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Das Bruttoeinkommen ist vor Anwendung der Tabelle auf volle Euro abzurunden.</w:t>
      </w:r>
    </w:p>
    <w:p>
      <w:r>
        <w:t xml:space="preserve">(2) Treffen Einkünfte aus beiden Einkommensgruppen im Sinne des § 33 Absatz 1 Satz 2 Buchstabe a des Bundesversorgungsgesetzes zusammen, so ist die Stufenzahl getrennt für jede Einkommensgruppe zu ermitteln; die Addition beider ermittelten Stufenwerte ergibt vorbehaltlich der Vorschrift des § 41 Absatz 3 Satz 3 und des § 51 Absatz 4 des Bundesversorgungsgesetzes die für die Feststellung der Leistungen nach § 2 maßgebende Stufenzahl.</w:t>
      </w:r>
    </w:p>
    <w:p>
      <w:r>
        <w:rPr>
          <w:color w:val="555555"/>
          <w:sz w:val="17"/>
        </w:rPr>
        <w:t xml:space="preserve">Zitiervorschlag: § 3 AnrV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