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AnrV 2023 — Anwendungsbereich</w:t>
      </w:r>
    </w:p>
    <w:p>
      <w:r>
        <w:rPr>
          <w:color w:val="555555"/>
          <w:sz w:val="18"/>
        </w:rPr>
        <w:t xml:space="preserve">54. Anrechnungsverordnung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Diese Verordnung gilt im Gebiet der Bundesrepublik Deutschland.</w:t>
      </w:r>
    </w:p>
    <w:p>
      <w:r>
        <w:rPr>
          <w:color w:val="555555"/>
          <w:sz w:val="17"/>
        </w:rPr>
        <w:t xml:space="preserve">Zitiervorschlag: § 1 AnrV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